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7"/>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1" w:name="_Toc15396475"/>
      <w:bookmarkStart w:id="2" w:name="_Toc15396597"/>
      <w:bookmarkStart w:id="3" w:name="_Toc15377193"/>
      <w:bookmarkStart w:id="4" w:name="_Toc15378441"/>
      <w:bookmarkStart w:id="5" w:name="_Toc15377425"/>
      <w:r>
        <w:rPr>
          <w:rFonts w:hint="eastAsia" w:ascii="方正小标宋简体" w:hAnsi="方正小标宋简体" w:eastAsia="方正小标宋简体" w:cs="方正小标宋简体"/>
          <w:sz w:val="44"/>
          <w:szCs w:val="44"/>
        </w:rPr>
        <w:t>2023年度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44"/>
          <w:szCs w:val="44"/>
        </w:rPr>
      </w:pPr>
      <w:bookmarkStart w:id="6" w:name="_Toc15378442"/>
      <w:bookmarkStart w:id="7" w:name="_Toc15377194"/>
      <w:bookmarkStart w:id="8" w:name="_Toc15396476"/>
      <w:bookmarkStart w:id="9" w:name="_Toc15377426"/>
      <w:bookmarkStart w:id="10" w:name="_Toc15396598"/>
      <w:r>
        <w:rPr>
          <w:rFonts w:hint="eastAsia" w:ascii="方正小标宋简体" w:hAnsi="方正小标宋简体" w:eastAsia="方正小标宋简体" w:cs="方正小标宋简体"/>
          <w:sz w:val="44"/>
          <w:szCs w:val="44"/>
        </w:rPr>
        <w:t>四川省</w:t>
      </w:r>
      <w:bookmarkEnd w:id="0"/>
      <w:bookmarkStart w:id="11" w:name="_Toc15306268"/>
      <w:r>
        <w:rPr>
          <w:rFonts w:hint="eastAsia" w:ascii="方正小标宋简体" w:hAnsi="方正小标宋简体" w:eastAsia="方正小标宋简体" w:cs="方正小标宋简体"/>
          <w:sz w:val="44"/>
          <w:szCs w:val="44"/>
          <w:lang w:eastAsia="zh-CN"/>
        </w:rPr>
        <w:t>广安市疾病预防控制中心</w:t>
      </w:r>
      <w:r>
        <w:rPr>
          <w:rFonts w:hint="eastAsia" w:ascii="方正小标宋简体" w:hAnsi="方正小标宋简体" w:eastAsia="方正小标宋简体" w:cs="方正小标宋简体"/>
          <w:sz w:val="44"/>
          <w:szCs w:val="44"/>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pPr>
      <w:r>
        <w:rPr>
          <w:rFonts w:hint="eastAsia"/>
        </w:rPr>
        <w:t>公开时间：</w:t>
      </w:r>
      <w:r>
        <w:rPr>
          <w:rFonts w:hint="eastAsia"/>
          <w:lang w:val="en-US" w:eastAsia="zh-CN"/>
        </w:rPr>
        <w:t>2024</w:t>
      </w:r>
      <w:r>
        <w:rPr>
          <w:rFonts w:hint="eastAsia"/>
        </w:rPr>
        <w:t>年9月</w:t>
      </w:r>
      <w:r>
        <w:rPr>
          <w:rFonts w:hint="eastAsia"/>
          <w:lang w:val="en-US" w:eastAsia="zh-CN"/>
        </w:rPr>
        <w:t>6</w:t>
      </w:r>
      <w:r>
        <w:rPr>
          <w:rFonts w:hint="eastAsia"/>
        </w:rPr>
        <w:t>日</w:t>
      </w:r>
    </w:p>
    <w:p>
      <w:bookmarkStart w:id="69" w:name="_GoBack"/>
      <w:bookmarkEnd w:id="69"/>
    </w:p>
    <w:p>
      <w:pPr>
        <w:pStyle w:val="13"/>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hint="eastAsia"/>
          <w:sz w:val="24"/>
          <w:lang w:val="en-US" w:eastAsia="zh-CN"/>
        </w:rPr>
        <w:tab/>
      </w:r>
      <w:r>
        <w:rPr>
          <w:rFonts w:hint="eastAsia"/>
          <w:sz w:val="24"/>
          <w:lang w:val="en-US" w:eastAsia="zh-CN"/>
        </w:rPr>
        <w:t>4</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一、主要职责</w:t>
      </w:r>
      <w:r>
        <w:rPr>
          <w:rFonts w:hint="eastAsia"/>
          <w:sz w:val="24"/>
          <w:lang w:val="en-US" w:eastAsia="zh-CN"/>
        </w:rPr>
        <w:tab/>
      </w:r>
      <w:r>
        <w:rPr>
          <w:rFonts w:hint="eastAsia"/>
          <w:sz w:val="24"/>
          <w:lang w:val="en-US" w:eastAsia="zh-CN"/>
        </w:rPr>
        <w:t>4</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lang w:val="en-US" w:eastAsia="zh-CN"/>
        </w:rPr>
      </w:pPr>
      <w:r>
        <w:rPr>
          <w:rFonts w:hint="eastAsia"/>
          <w:sz w:val="24"/>
        </w:rPr>
        <w:t>二、机构设置</w:t>
      </w:r>
      <w:r>
        <w:rPr>
          <w:rFonts w:hint="eastAsia"/>
          <w:sz w:val="24"/>
          <w:lang w:val="en-US" w:eastAsia="zh-CN"/>
        </w:rPr>
        <w:tab/>
      </w:r>
      <w:r>
        <w:rPr>
          <w:rFonts w:hint="eastAsia"/>
          <w:sz w:val="24"/>
          <w:lang w:val="en-US" w:eastAsia="zh-CN"/>
        </w:rPr>
        <w:t>8</w:t>
      </w:r>
    </w:p>
    <w:p>
      <w:pPr>
        <w:pStyle w:val="13"/>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440" w:lineRule="exact"/>
        <w:jc w:val="left"/>
        <w:textAlignment w:val="auto"/>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ab/>
      </w:r>
      <w:r>
        <w:rPr>
          <w:rFonts w:hint="eastAsia"/>
          <w:sz w:val="24"/>
          <w:lang w:val="en-US" w:eastAsia="zh-CN"/>
        </w:rPr>
        <w:t>12</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ab/>
      </w:r>
      <w:r>
        <w:rPr>
          <w:rFonts w:hint="eastAsia"/>
          <w:sz w:val="24"/>
          <w:lang w:val="en-US" w:eastAsia="zh-CN"/>
        </w:rPr>
        <w:t>12</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ab/>
      </w:r>
      <w:r>
        <w:rPr>
          <w:rFonts w:hint="eastAsia"/>
          <w:sz w:val="24"/>
          <w:lang w:val="en-US" w:eastAsia="zh-CN"/>
        </w:rPr>
        <w:t>12</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ab/>
      </w:r>
      <w:r>
        <w:rPr>
          <w:rFonts w:hint="eastAsia"/>
          <w:sz w:val="24"/>
          <w:lang w:val="en-US" w:eastAsia="zh-CN"/>
        </w:rPr>
        <w:t>13</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ab/>
      </w:r>
      <w:r>
        <w:rPr>
          <w:rFonts w:hint="eastAsia"/>
          <w:sz w:val="24"/>
          <w:lang w:val="en-US" w:eastAsia="zh-CN"/>
        </w:rPr>
        <w:t>13</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ab/>
      </w:r>
      <w:r>
        <w:rPr>
          <w:rFonts w:hint="eastAsia"/>
          <w:sz w:val="24"/>
          <w:lang w:val="en-US" w:eastAsia="zh-CN"/>
        </w:rPr>
        <w:t>14</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ab/>
      </w:r>
      <w:r>
        <w:rPr>
          <w:rFonts w:hint="eastAsia"/>
          <w:sz w:val="24"/>
          <w:lang w:val="en-US" w:eastAsia="zh-CN"/>
        </w:rPr>
        <w:t>17</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hint="eastAsia"/>
          <w:sz w:val="24"/>
          <w:lang w:val="en-US" w:eastAsia="zh-CN"/>
        </w:rPr>
        <w:tab/>
      </w:r>
      <w:r>
        <w:rPr>
          <w:rFonts w:hint="eastAsia"/>
          <w:sz w:val="24"/>
          <w:lang w:val="en-US" w:eastAsia="zh-CN"/>
        </w:rPr>
        <w:t>18</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ab/>
      </w:r>
      <w:r>
        <w:rPr>
          <w:rFonts w:hint="eastAsia"/>
          <w:sz w:val="24"/>
          <w:lang w:val="en-US" w:eastAsia="zh-CN"/>
        </w:rPr>
        <w:t>20</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九、国有资本经营预算支出决算情况说明</w:t>
      </w:r>
      <w:r>
        <w:rPr>
          <w:rFonts w:hint="eastAsia"/>
          <w:sz w:val="24"/>
          <w:lang w:val="en-US" w:eastAsia="zh-CN"/>
        </w:rPr>
        <w:tab/>
      </w:r>
      <w:r>
        <w:rPr>
          <w:rFonts w:hint="eastAsia"/>
          <w:sz w:val="24"/>
          <w:lang w:val="en-US" w:eastAsia="zh-CN"/>
        </w:rPr>
        <w:t>20</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十、其他重要事项的情况说明</w:t>
      </w:r>
      <w:r>
        <w:rPr>
          <w:rFonts w:hint="eastAsia"/>
          <w:sz w:val="24"/>
          <w:lang w:val="en-US" w:eastAsia="zh-CN"/>
        </w:rPr>
        <w:tab/>
      </w:r>
      <w:r>
        <w:rPr>
          <w:rFonts w:hint="eastAsia"/>
          <w:sz w:val="24"/>
          <w:lang w:val="en-US" w:eastAsia="zh-CN"/>
        </w:rPr>
        <w:t>20</w:t>
      </w:r>
    </w:p>
    <w:p>
      <w:pPr>
        <w:pStyle w:val="13"/>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ab/>
      </w:r>
      <w:r>
        <w:rPr>
          <w:rFonts w:hint="eastAsia"/>
          <w:sz w:val="24"/>
          <w:lang w:val="en-US" w:eastAsia="zh-CN"/>
        </w:rPr>
        <w:t>22</w:t>
      </w:r>
    </w:p>
    <w:p>
      <w:pPr>
        <w:pStyle w:val="13"/>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ab/>
      </w:r>
      <w:r>
        <w:rPr>
          <w:rFonts w:hint="eastAsia"/>
          <w:sz w:val="24"/>
          <w:lang w:val="en-US" w:eastAsia="zh-CN"/>
        </w:rPr>
        <w:t>24</w:t>
      </w:r>
    </w:p>
    <w:p>
      <w:pPr>
        <w:pStyle w:val="13"/>
        <w:keepNext w:val="0"/>
        <w:keepLines w:val="0"/>
        <w:pageBreakBefore w:val="0"/>
        <w:widowControl w:val="0"/>
        <w:tabs>
          <w:tab w:val="right" w:leader="middleDot" w:pos="7980"/>
        </w:tabs>
        <w:kinsoku/>
        <w:wordWrap/>
        <w:overflowPunct/>
        <w:topLinePunct w:val="0"/>
        <w:autoSpaceDE/>
        <w:autoSpaceDN/>
        <w:bidi w:val="0"/>
        <w:adjustRightInd w:val="0"/>
        <w:snapToGrid w:val="0"/>
        <w:spacing w:before="0" w:line="440" w:lineRule="exact"/>
        <w:jc w:val="left"/>
        <w:textAlignment w:val="auto"/>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一、收入支出决算总表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二、收入决算表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三、支出决算表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四、财政拨款收入支出决算总表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五、财政拨款支出决算明细表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六、一般公共预算财政拨款支出决算表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七、一般公共预算财政拨款支出决算明细表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八、一般公共预算财政拨款基本支出决算明细表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九、一般公共预算财政拨款项目支出决算表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十、政府性基金预算财政拨款收入支出决算表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十一、国有资本经营预算财政拨款收入支出决算表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十二、国有资本经营预算财政拨款支出决算表</w:t>
      </w:r>
      <w:r>
        <w:rPr>
          <w:rFonts w:hint="eastAsia"/>
          <w:sz w:val="24"/>
          <w:lang w:val="en-US" w:eastAsia="zh-CN"/>
        </w:rPr>
        <w:tab/>
      </w:r>
      <w:r>
        <w:rPr>
          <w:rFonts w:hint="eastAsia"/>
          <w:sz w:val="24"/>
          <w:lang w:val="en-US" w:eastAsia="zh-CN"/>
        </w:rPr>
        <w:t>25</w:t>
      </w:r>
    </w:p>
    <w:p>
      <w:pPr>
        <w:pStyle w:val="14"/>
        <w:keepNext w:val="0"/>
        <w:keepLines w:val="0"/>
        <w:pageBreakBefore w:val="0"/>
        <w:widowControl w:val="0"/>
        <w:tabs>
          <w:tab w:val="right" w:leader="middleDot" w:pos="7980"/>
        </w:tabs>
        <w:kinsoku/>
        <w:wordWrap/>
        <w:overflowPunct/>
        <w:topLinePunct w:val="0"/>
        <w:autoSpaceDE/>
        <w:autoSpaceDN/>
        <w:bidi w:val="0"/>
        <w:adjustRightInd w:val="0"/>
        <w:snapToGrid w:val="0"/>
        <w:spacing w:line="440" w:lineRule="exact"/>
        <w:jc w:val="left"/>
        <w:textAlignment w:val="auto"/>
        <w:rPr>
          <w:rFonts w:hint="default" w:eastAsia="宋体"/>
          <w:sz w:val="24"/>
          <w:lang w:val="en-US" w:eastAsia="zh-CN"/>
        </w:rPr>
      </w:pPr>
      <w:r>
        <w:rPr>
          <w:rFonts w:hint="eastAsia"/>
          <w:sz w:val="24"/>
        </w:rPr>
        <w:t>十三、财政拨款“三公”经费支出决算表</w:t>
      </w:r>
      <w:r>
        <w:rPr>
          <w:rFonts w:hint="eastAsia"/>
          <w:sz w:val="24"/>
          <w:lang w:val="en-US" w:eastAsia="zh-CN"/>
        </w:rPr>
        <w:tab/>
      </w:r>
      <w:r>
        <w:rPr>
          <w:rFonts w:hint="eastAsia"/>
          <w:sz w:val="24"/>
          <w:lang w:val="en-US" w:eastAsia="zh-CN"/>
        </w:rPr>
        <w:t>25</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9"/>
          <w:rFonts w:ascii="黑体" w:hAnsi="黑体" w:eastAsia="黑体"/>
          <w:b/>
          <w:bCs w:val="0"/>
        </w:rPr>
      </w:pPr>
      <w:r>
        <w:rPr>
          <w:rFonts w:hint="eastAsia" w:ascii="黑体" w:hAnsi="黑体" w:eastAsia="黑体"/>
          <w:b w:val="0"/>
        </w:rPr>
        <w:t>第一部分 单位</w:t>
      </w:r>
      <w:r>
        <w:rPr>
          <w:rStyle w:val="29"/>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600" w:lineRule="exact"/>
        <w:textAlignment w:val="auto"/>
        <w:rPr>
          <w:rStyle w:val="30"/>
          <w:rFonts w:ascii="黑体" w:hAnsi="黑体" w:eastAsia="黑体"/>
          <w:b w:val="0"/>
          <w:bCs w:val="0"/>
        </w:rPr>
      </w:pPr>
      <w:bookmarkStart w:id="14" w:name="_Toc15396600"/>
      <w:bookmarkStart w:id="15" w:name="_Toc15377197"/>
      <w:r>
        <w:rPr>
          <w:rStyle w:val="30"/>
          <w:rFonts w:hint="eastAsia" w:ascii="黑体" w:hAnsi="黑体" w:eastAsia="黑体"/>
          <w:b w:val="0"/>
          <w:bCs w:val="0"/>
        </w:rPr>
        <w:t>主要职责</w:t>
      </w:r>
    </w:p>
    <w:p>
      <w:pPr>
        <w:spacing w:line="600" w:lineRule="exact"/>
        <w:ind w:firstLine="642" w:firstLineChars="200"/>
        <w:outlineLvl w:val="2"/>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（一）主要职能</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1.</w:t>
      </w:r>
      <w:r>
        <w:rPr>
          <w:rFonts w:hint="default" w:ascii="仿宋" w:hAnsi="仿宋" w:eastAsia="仿宋" w:cs="Times New Roman"/>
          <w:sz w:val="32"/>
          <w:szCs w:val="32"/>
          <w:lang w:val="en-US" w:eastAsia="zh-CN"/>
        </w:rPr>
        <w:t>开展疾病监测；研究传染病、寄生虫病、地方病、非传染性疾病等疾病的分布，探讨疾病的发生、发展的原因和流行规律；提供制订预防控制策略与措施的技术保障；组织实施疾病预防控制工作规划、计划和方案，预防控制相关疾病的发生与流行。</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2.</w:t>
      </w:r>
      <w:r>
        <w:rPr>
          <w:rFonts w:hint="default" w:ascii="仿宋" w:hAnsi="仿宋" w:eastAsia="仿宋" w:cs="Times New Roman"/>
          <w:sz w:val="32"/>
          <w:szCs w:val="32"/>
          <w:lang w:val="en-US" w:eastAsia="zh-CN"/>
        </w:rPr>
        <w:t>开展突发公共卫生事件处置和救灾防病的应急准备；对突发公共卫生事件、灾后疫病进行检测报告，提供预测预警信息；开展现场调查处置和效果评估。</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3.</w:t>
      </w:r>
      <w:r>
        <w:rPr>
          <w:rFonts w:hint="default" w:ascii="仿宋" w:hAnsi="仿宋" w:eastAsia="仿宋" w:cs="Times New Roman"/>
          <w:sz w:val="32"/>
          <w:szCs w:val="32"/>
          <w:lang w:val="en-US" w:eastAsia="zh-CN"/>
        </w:rPr>
        <w:t>疫情及健康相关因素信息管理，收集、报告、分析和评价疾病与健康危害因素等公共卫生信息，为疾病预防控制决策提供依据，为社会和公众提供信息服务。</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4.</w:t>
      </w:r>
      <w:r>
        <w:rPr>
          <w:rFonts w:hint="default" w:ascii="仿宋" w:hAnsi="仿宋" w:eastAsia="仿宋" w:cs="Times New Roman"/>
          <w:sz w:val="32"/>
          <w:szCs w:val="32"/>
          <w:lang w:val="en-US" w:eastAsia="zh-CN"/>
        </w:rPr>
        <w:t>健康危害因素监测与干预，开展食源性、职业性、辐射性、环境性疾病监测、调查处置和公共营养监测与评价；对生产、生活、学习环境中影响人物健康的危害因素进行监测与评价，提出干预策略与措施，预防控制相关因素对人体健康的危害。</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5.</w:t>
      </w:r>
      <w:r>
        <w:rPr>
          <w:rFonts w:hint="default" w:ascii="仿宋" w:hAnsi="仿宋" w:eastAsia="仿宋" w:cs="Times New Roman"/>
          <w:sz w:val="32"/>
          <w:szCs w:val="32"/>
          <w:lang w:val="en-US" w:eastAsia="zh-CN"/>
        </w:rPr>
        <w:t>实验室检查研究、应用实验室监测与分析技术，开展传染性疾病病原微生物的检测检验，开展中毒事件的毒物分析，开展疾病和健康危害因素的生物、物理、化学因子的监测、鉴定和评价，为突发公共卫生事件的应急处置、传染性疾病的诊断、疾病和健康相关危害因素的预防控制及卫生监督执法等提供技术支撑，为社会提供技术服务。</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6.</w:t>
      </w:r>
      <w:r>
        <w:rPr>
          <w:rFonts w:hint="default" w:ascii="仿宋" w:hAnsi="仿宋" w:eastAsia="仿宋" w:cs="Times New Roman"/>
          <w:sz w:val="32"/>
          <w:szCs w:val="32"/>
          <w:lang w:val="en-US" w:eastAsia="zh-CN"/>
        </w:rPr>
        <w:t>开展健康教育、健康促进；普及卫生防病知识，对公众进行健康指导；协同有关部门和组织，对公众不良健康行为进行干预，促进公众掌握自我保健与防护技能。</w:t>
      </w:r>
    </w:p>
    <w:p>
      <w:pPr>
        <w:spacing w:line="600" w:lineRule="exact"/>
        <w:ind w:firstLine="642"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lang w:val="en-US" w:eastAsia="zh-CN"/>
        </w:rPr>
        <w:t>7.</w:t>
      </w:r>
      <w:r>
        <w:rPr>
          <w:rFonts w:hint="default" w:ascii="仿宋" w:hAnsi="仿宋" w:eastAsia="仿宋" w:cs="Times New Roman"/>
          <w:sz w:val="32"/>
          <w:szCs w:val="32"/>
          <w:lang w:val="en-US" w:eastAsia="zh-CN"/>
        </w:rPr>
        <w:t>技术管理与应用研究指导开展疾病预防控制工作业务与技术培训，提供技术指导、技术支持和技术服务；引进和推广应用新技术、新方法；指导和开展疾病预防控制工作绩效考核与评估。</w:t>
      </w:r>
    </w:p>
    <w:p>
      <w:pPr>
        <w:spacing w:line="600" w:lineRule="exact"/>
        <w:ind w:firstLine="642" w:firstLineChars="200"/>
        <w:outlineLvl w:val="2"/>
        <w:rPr>
          <w:rFonts w:hint="default" w:ascii="仿宋" w:hAnsi="仿宋" w:eastAsia="仿宋" w:cs="Times New Roman"/>
          <w:b/>
          <w:sz w:val="32"/>
          <w:szCs w:val="32"/>
          <w:lang w:val="en-US" w:eastAsia="zh-CN"/>
        </w:rPr>
      </w:pPr>
      <w:bookmarkStart w:id="16" w:name="_Toc15378446"/>
      <w:bookmarkStart w:id="17" w:name="_Toc15377199"/>
      <w:r>
        <w:rPr>
          <w:rFonts w:hint="default" w:ascii="仿宋" w:hAnsi="仿宋" w:eastAsia="仿宋" w:cs="Times New Roman"/>
          <w:b/>
          <w:sz w:val="32"/>
          <w:szCs w:val="32"/>
          <w:lang w:val="en-US" w:eastAsia="zh-CN"/>
        </w:rPr>
        <w:t>（二）202</w:t>
      </w:r>
      <w:r>
        <w:rPr>
          <w:rFonts w:hint="eastAsia" w:ascii="仿宋" w:hAnsi="仿宋" w:eastAsia="仿宋" w:cs="Times New Roman"/>
          <w:b/>
          <w:sz w:val="32"/>
          <w:szCs w:val="32"/>
          <w:lang w:val="en-US" w:eastAsia="zh-CN"/>
        </w:rPr>
        <w:t>3</w:t>
      </w:r>
      <w:r>
        <w:rPr>
          <w:rFonts w:hint="default" w:ascii="仿宋" w:hAnsi="仿宋" w:eastAsia="仿宋" w:cs="Times New Roman"/>
          <w:b/>
          <w:sz w:val="32"/>
          <w:szCs w:val="32"/>
          <w:lang w:val="en-US" w:eastAsia="zh-CN"/>
        </w:rPr>
        <w:t>年重点工作完成情况</w:t>
      </w:r>
      <w:bookmarkEnd w:id="16"/>
      <w:bookmarkEnd w:id="17"/>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1.</w:t>
      </w:r>
      <w:r>
        <w:rPr>
          <w:rFonts w:hint="default" w:ascii="仿宋" w:hAnsi="仿宋" w:eastAsia="仿宋" w:cs="Times New Roman"/>
          <w:kern w:val="2"/>
          <w:sz w:val="32"/>
          <w:szCs w:val="32"/>
          <w:lang w:val="en-US" w:eastAsia="zh-CN" w:bidi="ar-SA"/>
        </w:rPr>
        <w:t>持续加强党的建设。坚持不懈用习近平新时代中国特色社会主义思想凝心铸魂，将学习贯彻习近平新时代中国特色社会主义思想和党的二十大精神贯穿始终。以开展“主题教育”活动为契机，采取中心组理论学习、党委会议扩大学习、参加市委宣讲团辅导学习、党员大会集中学习研讨等方式，组织党员干部深入学习领会党的二十大精神，切实把思想和行动统一到党的二十大部署上来，推动重点工作任务有序落实。</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2"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2.</w:t>
      </w:r>
      <w:r>
        <w:rPr>
          <w:rFonts w:hint="default" w:ascii="仿宋" w:hAnsi="仿宋" w:eastAsia="仿宋" w:cs="Times New Roman"/>
          <w:kern w:val="2"/>
          <w:sz w:val="32"/>
          <w:szCs w:val="32"/>
          <w:lang w:val="en-US" w:eastAsia="zh-CN" w:bidi="ar-SA"/>
        </w:rPr>
        <w:t>持续推进党风廉政建设。一是筑牢廉洁从业根基。以会议学习、观看警示教育视频、学习典型案例通报、岗前培训、上廉政党课、开展“纪法宣传月”活动等为载体，组织干部职工深入学习二十届中央纪委二次全会、省纪委十二届二次全会以及市纪委六届三次全会精神，教育引导广大职工从思想上正本清源、固本培元，坚决筑牢拒腐防变思想防线。二是多形式开展红色教育实践活动。组织全体党员在邓小平故居、张爱萍故居等开展红色研学，前往广安市廉政警示教育基地、“红岩</w:t>
      </w:r>
      <w:r>
        <w:rPr>
          <w:rFonts w:hint="default" w:ascii="仿宋" w:hAnsi="仿宋" w:eastAsia="仿宋" w:cs="Times New Roman"/>
          <w:b w:val="0"/>
          <w:bCs w:val="0"/>
          <w:kern w:val="2"/>
          <w:sz w:val="32"/>
          <w:szCs w:val="32"/>
          <w:lang w:val="en-US" w:eastAsia="zh-CN" w:bidi="ar-SA"/>
        </w:rPr>
        <w:t>·</w:t>
      </w:r>
      <w:r>
        <w:rPr>
          <w:rFonts w:hint="default" w:ascii="仿宋" w:hAnsi="仿宋" w:eastAsia="仿宋" w:cs="Times New Roman"/>
          <w:kern w:val="2"/>
          <w:sz w:val="32"/>
          <w:szCs w:val="32"/>
          <w:lang w:val="en-US" w:eastAsia="zh-CN" w:bidi="ar-SA"/>
        </w:rPr>
        <w:t>华蓥 烽火”警示教育基地开展廉政警示教育，赴重庆渣滓洞、白公馆等地接受红色教育，追逐革命先烈足迹，瞻仰红色廉洁文化，忆苦思甜、淬炼党性。三是严格加强干部监管。严格落实“三重一大”事项集体决策制度，定期对干部职工履职情况、遵章守纪情况及财务制度执行情况等开展检查考核。</w:t>
      </w:r>
    </w:p>
    <w:p>
      <w:pPr>
        <w:spacing w:line="600" w:lineRule="exact"/>
        <w:ind w:firstLine="642" w:firstLineChars="200"/>
        <w:rPr>
          <w:rFonts w:hint="default"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3.</w:t>
      </w:r>
      <w:r>
        <w:rPr>
          <w:rFonts w:hint="default" w:ascii="仿宋" w:hAnsi="仿宋" w:eastAsia="仿宋" w:cs="Times New Roman"/>
          <w:kern w:val="2"/>
          <w:sz w:val="32"/>
          <w:szCs w:val="32"/>
          <w:lang w:val="en-US" w:eastAsia="zh-CN" w:bidi="ar-SA"/>
        </w:rPr>
        <w:t>稳步推进疾病防控工作</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一是扎实推进急性传染病防控。持续推进新冠、流感、手足口病、霍乱、登革热等传染病以及病媒生物监测工作，做好家蝇和蟑螂饲养工作及家蝇抗药性实验，顺利完成国家卫生城市复审和省级病媒生物防治达标考核工作，妥善处置我市人感染动物源性流感疫情和人感染布鲁氏杆菌疫情等散发疫情。</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二是稳步推进重大传染病防</w:t>
      </w:r>
      <w:r>
        <w:rPr>
          <w:rFonts w:hint="eastAsia" w:ascii="仿宋" w:hAnsi="仿宋" w:eastAsia="仿宋" w:cs="Times New Roman"/>
          <w:kern w:val="2"/>
          <w:sz w:val="32"/>
          <w:szCs w:val="32"/>
          <w:lang w:val="en-US" w:eastAsia="zh-CN" w:bidi="ar-SA"/>
        </w:rPr>
        <w:t>制</w:t>
      </w:r>
      <w:r>
        <w:rPr>
          <w:rFonts w:hint="default" w:ascii="仿宋" w:hAnsi="仿宋" w:eastAsia="仿宋" w:cs="Times New Roman"/>
          <w:kern w:val="2"/>
          <w:sz w:val="32"/>
          <w:szCs w:val="32"/>
          <w:lang w:val="en-US" w:eastAsia="zh-CN" w:bidi="ar-SA"/>
        </w:rPr>
        <w:t>。聚焦流动艾滋病感染者管理这一全国性难题，积极推动川渝合作，成功举办川渝地区流动艾滋病病毒感染者协同管理专家研讨会，有力促进了渝广疾病防控联动、推动我市重大疾病防</w:t>
      </w:r>
      <w:r>
        <w:rPr>
          <w:rFonts w:hint="eastAsia" w:ascii="仿宋" w:hAnsi="仿宋" w:eastAsia="仿宋" w:cs="Times New Roman"/>
          <w:kern w:val="2"/>
          <w:sz w:val="32"/>
          <w:szCs w:val="32"/>
          <w:lang w:val="en-US" w:eastAsia="zh-CN" w:bidi="ar-SA"/>
        </w:rPr>
        <w:t>制</w:t>
      </w:r>
      <w:r>
        <w:rPr>
          <w:rFonts w:hint="default" w:ascii="仿宋" w:hAnsi="仿宋" w:eastAsia="仿宋" w:cs="Times New Roman"/>
          <w:kern w:val="2"/>
          <w:sz w:val="32"/>
          <w:szCs w:val="32"/>
          <w:lang w:val="en-US" w:eastAsia="zh-CN" w:bidi="ar-SA"/>
        </w:rPr>
        <w:t>工作实现新突破。持续开展结核病疫情监测和耐多药、TB/HIV双重感染监测工作</w:t>
      </w:r>
      <w:r>
        <w:rPr>
          <w:rFonts w:hint="eastAsia" w:ascii="仿宋" w:hAnsi="仿宋" w:eastAsia="仿宋" w:cs="Times New Roman"/>
          <w:kern w:val="2"/>
          <w:sz w:val="32"/>
          <w:szCs w:val="32"/>
          <w:lang w:val="en-US" w:eastAsia="zh-CN" w:bidi="ar-SA"/>
        </w:rPr>
        <w:t>。</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三是有序开展慢性病和地方病寄生虫病防治。积极推进慢性病综合防控示范区建设，成功创建省级慢性病综合防控示范区2个（广安区和邻水县）。</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四是扎实推进免疫规划工作。截至目前，我市18剂次国家免疫规划接种率已达到90%，疫苗针对传染病发病率持续控制在较低水平；全市30个数字化预防接种门诊均已完成建设；川渝首届预防接种技能竞赛在全省比赛中荣获团体二等奖。</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五是持续深入开展健康教育与健康促进。积极扩宽宣传渠道，多形式开展健康知识宣传与科普活动，与广安市广播电视台合作推出艾滋病防治、营养宣传等视频3期，累计开展艾滋病、结核病、职业病防治等各类健康知识宣传活动12次，利用微信公众号、官方网站推送各类科普信息800余条次。首次实现健康素养监测工作区市县全覆盖，为全面科学有效了解我市居民健康素养水平提供了坚实基础。</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六是有序推进健康危害因素监测工作。完成全市46所中小学学校及托幼机构卫生监测工作及124个乡镇及街道办事处341.7万人的合理膳食指导工作，乡镇社区覆盖率100%；全面完成全年食品风险样品的采集、检测和数据上报</w:t>
      </w:r>
      <w:r>
        <w:rPr>
          <w:rFonts w:hint="eastAsia" w:ascii="仿宋" w:hAnsi="仿宋" w:eastAsia="仿宋" w:cs="Times New Roman"/>
          <w:kern w:val="2"/>
          <w:sz w:val="32"/>
          <w:szCs w:val="32"/>
          <w:lang w:val="en-US" w:eastAsia="zh-CN" w:bidi="ar-SA"/>
        </w:rPr>
        <w:t>。</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val="en-US" w:eastAsia="zh-CN" w:bidi="ar-SA"/>
        </w:rPr>
        <w:t>七是持续强化业务培训指导。以经验座谈、集中面授、现场实操培训等方式开展全民健康生活方式、卫生监测、急性传染病报告、艾滋结核防治、实验室检测技术等各类专业业务培训，深入各区市县开展各类疾病防控技术指导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Fonts w:hint="default" w:ascii="仿宋" w:hAnsi="仿宋" w:eastAsia="仿宋" w:cs="Times New Roman"/>
          <w:kern w:val="2"/>
          <w:sz w:val="32"/>
          <w:szCs w:val="32"/>
          <w:lang w:val="en-US" w:eastAsia="zh-CN" w:bidi="ar-SA"/>
        </w:rPr>
      </w:pPr>
      <w:r>
        <w:rPr>
          <w:rFonts w:hint="eastAsia" w:ascii="仿宋" w:hAnsi="仿宋" w:eastAsia="仿宋" w:cs="Times New Roman"/>
          <w:b/>
          <w:kern w:val="2"/>
          <w:sz w:val="32"/>
          <w:szCs w:val="32"/>
          <w:lang w:val="en-US" w:eastAsia="zh-CN" w:bidi="ar-SA"/>
        </w:rPr>
        <w:t>4.</w:t>
      </w:r>
      <w:r>
        <w:rPr>
          <w:rFonts w:hint="default" w:ascii="仿宋" w:hAnsi="仿宋" w:eastAsia="仿宋" w:cs="Times New Roman"/>
          <w:kern w:val="2"/>
          <w:sz w:val="32"/>
          <w:szCs w:val="32"/>
          <w:lang w:val="en-US" w:eastAsia="zh-CN" w:bidi="ar-SA"/>
        </w:rPr>
        <w:t>全力以赴开展“三甲”创建。一是建强工作机制。成立以党委书记、主任为双组长，班子成员为副组长，各科室负责人为成员的创建工作领导小组，凝聚起“三甲”创建的强大合力。二是厘清工作路径。对标对表《四川省疾病预防控制机构等级评审细则》及《四川省疾病预防控制机构等级评审工作手册》，结合中心实际制发专项工作方案，逐项分解下达创建指标，确保各项任务按照时间节点有力有序推进。三是强化培训学习。结合《评审管理办法》《评审细则》等工作要求，组织开展培训，进一步明晰评审指标的实质要求，读懂考核评价标准。四是加速优化队伍。多渠道招引、培育队伍，在职职工平均年龄32.67岁，卫技人员占比73%，队伍专业、年龄、学历、职称结构持续优化。五是强化基础设施建设。顺利完成业务用房及旧实验楼三四楼实验室改造、实验室搬迁等建设任务。六是持续提升检验检测能力。对照“三甲”疾控机构检测能力要求，拟制扩项计划，分期分批有序推进检测项目扩项。</w:t>
      </w:r>
    </w:p>
    <w:p>
      <w:pPr>
        <w:pStyle w:val="4"/>
        <w:pageBreakBefore w:val="0"/>
        <w:widowControl w:val="0"/>
        <w:kinsoku/>
        <w:wordWrap/>
        <w:overflowPunct/>
        <w:topLinePunct w:val="0"/>
        <w:autoSpaceDE/>
        <w:autoSpaceDN/>
        <w:bidi w:val="0"/>
        <w:adjustRightInd/>
        <w:snapToGrid/>
        <w:spacing w:line="600" w:lineRule="exact"/>
        <w:textAlignment w:val="auto"/>
        <w:rPr>
          <w:rFonts w:ascii="黑体" w:hAnsi="黑体" w:eastAsia="黑体"/>
          <w:b w:val="0"/>
        </w:rPr>
      </w:pPr>
      <w:r>
        <w:rPr>
          <w:rFonts w:hint="eastAsia" w:ascii="黑体" w:hAnsi="黑体" w:eastAsia="黑体"/>
          <w:b w:val="0"/>
        </w:rPr>
        <w:t>二、机构设置</w:t>
      </w:r>
    </w:p>
    <w:bookmarkEnd w:id="14"/>
    <w:bookmarkEnd w:id="15"/>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广安市疾病预防控制中心共有在职人员118人，内设14个科室。其中：</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办公室，主要负责中心行政、党务综合管理、党建、思想政治及精神文明建设、人事管理等工作；</w:t>
      </w:r>
    </w:p>
    <w:p>
      <w:pPr>
        <w:spacing w:line="600" w:lineRule="exact"/>
        <w:ind w:firstLine="640" w:firstLineChars="200"/>
        <w:rPr>
          <w:rFonts w:hint="eastAsia"/>
          <w:lang w:val="en-US" w:eastAsia="zh-CN"/>
        </w:rPr>
      </w:pPr>
      <w:r>
        <w:rPr>
          <w:rFonts w:hint="eastAsia" w:ascii="仿宋" w:hAnsi="仿宋" w:eastAsia="仿宋" w:cs="Times New Roman"/>
          <w:kern w:val="2"/>
          <w:sz w:val="32"/>
          <w:szCs w:val="32"/>
          <w:lang w:val="en-US" w:eastAsia="zh-CN" w:bidi="ar-SA"/>
        </w:rPr>
        <w:t>综合室，主要负责中心纪委日常运转工作，中心纪检干部伍建设和教育、管理、监督、培训，组织市疾病预防控制中心全面从严治党、党风廉政建设和反腐败宣传教育以及廉洁文化建设等工作；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后勤保障科，主要负责中心基础设施建设、物资采购、固定资产管理，安全生产、中心设备维护等后勤保障；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规划财务科，主要负责编制财务计划，专项经费申报和检查指导，财务预决算和项目管理，固定资产账务和资金管理；</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微生物检验科，主要负责病原微生物与生物检验综合管理，艾滋病、性病、丙肝、结核病、麻风病等检验检测及实验室毒种管理；</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理化检验科，主要负责理化检验综合管理，食品与健康相关产品、环境卫生与职业卫生理化检验，负责放射性检测、化学中毒检测、地方病相关理化检验等工作；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职业健康科，主要负责开展全市职业病危害因素监测、技术指导和卫生学评价，参与职业中毒、放射事故等公共卫生事件的调查、监测和技术处理，负责全市职业病诊断与管理等工作；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地方病与慢性非传染性疾病控制科，主要负责制订全市慢性病、寄生虫病、地方病的防治技术规划、技术方案、年度计划并组织实施，负责慢性非传染性疾病监测、危险因素调查及干预措施的制定、实施和效果评估等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业务管理与质量控制科，主要负责中心疾病预防控制业务与质量综合协调管理，基本公共卫生服务疾控项目管理与基层工作指导，实验室质量控制和生物安全管理，实习基地教学管理等相关工作；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急性传染病预防控制科，主要负责组织突发公共卫生事件的调查、控制，指导突发公共卫生事件的监测、分析评估、依法报告和处置救援，组织对不明原因疾病、新发疾病的调查和指导，开展卫生应急培训和演练，负责全市病媒生物防制方案制定并组织实施，负责对全市及服务单位开展消毒与媒介生物防制技术指导、培训等相关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重大传染病防制科，主要负责全市艾滋病、性病、皮肤病、结核病及其他重大传染病防治规划的制订、实施与评价;承担全市艾滋病、结核病及其他重大传染病防制技术培训、技术指导、疫情报告及监测系统管理、调查与行为干预、治疗与关怀、治疗病人的管理等相关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免疫规划科，主要负责实施全市儿童免疫规划、计划和技术方案，承办全市疫苗的订购、贮存、分发和运输，指导、督促预防接种和疫苗针对性传染疾病的监测与调查处理等相关工作；</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卫生科，主要负责全市卫生监测计划的制定，承担食品安全污染风险、学校卫生、生活饮用水、公共场所卫生、环境卫生等监测评价工作，人群合理膳食指导、食源性疾病和环境危害因素控制、农村改水改厕项目的技术指导，负责参与相关突发公共卫生事件的调查处理；</w:t>
      </w:r>
    </w:p>
    <w:p>
      <w:pPr>
        <w:spacing w:line="600" w:lineRule="exact"/>
        <w:ind w:firstLine="640" w:firstLineChars="200"/>
        <w:rPr>
          <w:rFonts w:ascii="仿宋" w:hAnsi="仿宋" w:eastAsia="仿宋"/>
          <w:kern w:val="0"/>
          <w:sz w:val="32"/>
          <w:szCs w:val="32"/>
        </w:rPr>
      </w:pPr>
      <w:r>
        <w:rPr>
          <w:rFonts w:hint="eastAsia" w:ascii="仿宋" w:hAnsi="仿宋" w:eastAsia="仿宋" w:cs="Times New Roman"/>
          <w:kern w:val="2"/>
          <w:sz w:val="32"/>
          <w:szCs w:val="32"/>
          <w:lang w:val="en-US" w:eastAsia="zh-CN" w:bidi="ar-SA"/>
        </w:rPr>
        <w:t>信息与健康教育科，主要负责全市疾病预防控制信息网络的技术指导和日常管理、人员培训工作，负责网络舆情监测，收集汇总并上报全市疫情和卫生监测报表，及时预测预报传染病疫情动态，负责贯彻执行国家及省有关健康教育的规定，制定全市健康促进与教育规划并组织开展社会性、群众性健康教育工作等相关工作。</w:t>
      </w:r>
      <w:r>
        <w:rPr>
          <w:rFonts w:ascii="仿宋" w:hAnsi="仿宋" w:eastAsia="仿宋"/>
          <w:sz w:val="32"/>
          <w:szCs w:val="32"/>
        </w:rPr>
        <w:br w:type="page"/>
      </w:r>
    </w:p>
    <w:p>
      <w:pPr>
        <w:pStyle w:val="3"/>
        <w:ind w:right="440"/>
        <w:jc w:val="center"/>
        <w:rPr>
          <w:rStyle w:val="29"/>
          <w:rFonts w:ascii="黑体" w:hAnsi="黑体" w:eastAsia="黑体"/>
          <w:b w:val="0"/>
          <w:bCs/>
        </w:rPr>
      </w:pPr>
      <w:bookmarkStart w:id="18" w:name="_Toc15396602"/>
      <w:bookmarkStart w:id="19" w:name="_Toc15377204"/>
      <w:r>
        <w:rPr>
          <w:rFonts w:hint="eastAsia" w:ascii="黑体" w:hAnsi="黑体" w:eastAsia="黑体"/>
          <w:b w:val="0"/>
        </w:rPr>
        <w:t>第二部分 2023年度</w:t>
      </w:r>
      <w:r>
        <w:rPr>
          <w:rStyle w:val="29"/>
          <w:rFonts w:hint="eastAsia" w:ascii="黑体" w:hAnsi="黑体" w:eastAsia="黑体"/>
          <w:b w:val="0"/>
          <w:bCs/>
        </w:rPr>
        <w:t>单位决算情况说明</w:t>
      </w:r>
      <w:bookmarkEnd w:id="18"/>
      <w:bookmarkEnd w:id="19"/>
    </w:p>
    <w:p/>
    <w:p>
      <w:pPr>
        <w:pStyle w:val="28"/>
        <w:numPr>
          <w:ilvl w:val="0"/>
          <w:numId w:val="2"/>
        </w:numPr>
        <w:spacing w:line="600" w:lineRule="exact"/>
        <w:ind w:firstLineChars="0"/>
        <w:outlineLvl w:val="1"/>
        <w:rPr>
          <w:rStyle w:val="30"/>
          <w:rFonts w:ascii="黑体" w:hAnsi="黑体" w:eastAsia="黑体"/>
          <w:b w:val="0"/>
        </w:rPr>
      </w:pPr>
      <w:bookmarkStart w:id="20" w:name="_Toc15377205"/>
      <w:bookmarkStart w:id="21"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0"/>
      <w:bookmarkEnd w:id="21"/>
    </w:p>
    <w:p>
      <w:pPr>
        <w:spacing w:line="600" w:lineRule="exact"/>
        <w:ind w:firstLine="640" w:firstLineChars="200"/>
        <w:rPr>
          <w:rFonts w:hint="eastAsia" w:ascii="仿宋" w:hAnsi="仿宋" w:eastAsia="仿宋"/>
          <w:b w:val="0"/>
          <w:bCs/>
          <w:sz w:val="32"/>
          <w:szCs w:val="32"/>
        </w:rPr>
      </w:pPr>
      <w:r>
        <w:rPr>
          <w:rFonts w:hint="eastAsia" w:ascii="仿宋" w:hAnsi="仿宋" w:eastAsia="仿宋"/>
          <w:b w:val="0"/>
          <w:bCs/>
          <w:sz w:val="32"/>
          <w:szCs w:val="32"/>
        </w:rPr>
        <w:t>2023年度收、支总计均为3098.99万元。与2022年度相比，收、支总计各增加</w:t>
      </w:r>
      <w:r>
        <w:rPr>
          <w:rFonts w:hint="eastAsia" w:ascii="仿宋" w:hAnsi="仿宋" w:eastAsia="仿宋"/>
          <w:b w:val="0"/>
          <w:bCs/>
          <w:sz w:val="32"/>
          <w:szCs w:val="32"/>
          <w:lang w:val="en-US" w:eastAsia="zh-CN"/>
        </w:rPr>
        <w:t>892.12</w:t>
      </w:r>
      <w:r>
        <w:rPr>
          <w:rFonts w:hint="eastAsia" w:ascii="仿宋" w:hAnsi="仿宋" w:eastAsia="仿宋"/>
          <w:b w:val="0"/>
          <w:bCs/>
          <w:sz w:val="32"/>
          <w:szCs w:val="32"/>
        </w:rPr>
        <w:t>万元，增长</w:t>
      </w:r>
      <w:r>
        <w:rPr>
          <w:rFonts w:hint="eastAsia" w:ascii="仿宋" w:hAnsi="仿宋" w:eastAsia="仿宋"/>
          <w:b w:val="0"/>
          <w:bCs/>
          <w:sz w:val="32"/>
          <w:szCs w:val="32"/>
          <w:lang w:val="en-US" w:eastAsia="zh-CN"/>
        </w:rPr>
        <w:t>40.42</w:t>
      </w:r>
      <w:r>
        <w:rPr>
          <w:rFonts w:ascii="仿宋" w:hAnsi="仿宋" w:eastAsia="仿宋"/>
          <w:b w:val="0"/>
          <w:bCs/>
          <w:sz w:val="32"/>
          <w:szCs w:val="32"/>
        </w:rPr>
        <w:t>%</w:t>
      </w:r>
      <w:r>
        <w:rPr>
          <w:rFonts w:hint="eastAsia" w:ascii="仿宋" w:hAnsi="仿宋" w:eastAsia="仿宋"/>
          <w:b w:val="0"/>
          <w:bCs/>
          <w:sz w:val="32"/>
          <w:szCs w:val="32"/>
        </w:rPr>
        <w:t>。主要变动原因是2023年在岗职工人数增加15人，</w:t>
      </w:r>
      <w:r>
        <w:rPr>
          <w:rFonts w:hint="eastAsia" w:ascii="仿宋" w:hAnsi="仿宋" w:eastAsia="仿宋"/>
          <w:b w:val="0"/>
          <w:bCs/>
          <w:sz w:val="32"/>
          <w:szCs w:val="32"/>
          <w:lang w:eastAsia="zh-CN"/>
        </w:rPr>
        <w:t>人员及公用经费增加，且购置全自动核酸纯化仪、多重病原快速筛查鉴定系统等检验检测仪器设备</w:t>
      </w:r>
      <w:r>
        <w:rPr>
          <w:rFonts w:hint="eastAsia" w:ascii="仿宋" w:hAnsi="仿宋" w:eastAsia="仿宋"/>
          <w:b w:val="0"/>
          <w:bCs/>
          <w:sz w:val="32"/>
          <w:szCs w:val="32"/>
        </w:rPr>
        <w:t>。</w:t>
      </w:r>
    </w:p>
    <w:p>
      <w:pPr>
        <w:pStyle w:val="2"/>
      </w:pPr>
      <w:r>
        <w:drawing>
          <wp:inline distT="0" distB="0" distL="114300" distR="114300">
            <wp:extent cx="4867275" cy="2743200"/>
            <wp:effectExtent l="0" t="0" r="9525"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8"/>
        <w:numPr>
          <w:ilvl w:val="0"/>
          <w:numId w:val="2"/>
        </w:numPr>
        <w:spacing w:line="600" w:lineRule="exact"/>
        <w:ind w:firstLineChars="0"/>
        <w:outlineLvl w:val="1"/>
        <w:rPr>
          <w:rStyle w:val="30"/>
          <w:rFonts w:ascii="黑体" w:hAnsi="黑体" w:eastAsia="黑体"/>
          <w:b w:val="0"/>
        </w:rPr>
      </w:pPr>
      <w:bookmarkStart w:id="22" w:name="_Toc15377206"/>
      <w:bookmarkStart w:id="23" w:name="_Toc15396604"/>
      <w:r>
        <w:rPr>
          <w:rFonts w:hint="eastAsia" w:ascii="黑体" w:hAnsi="黑体" w:eastAsia="黑体"/>
          <w:sz w:val="32"/>
          <w:szCs w:val="32"/>
        </w:rPr>
        <w:t>收</w:t>
      </w:r>
      <w:r>
        <w:rPr>
          <w:rStyle w:val="30"/>
          <w:rFonts w:hint="eastAsia" w:ascii="黑体" w:hAnsi="黑体" w:eastAsia="黑体"/>
          <w:b w:val="0"/>
        </w:rPr>
        <w:t>入决算情况说明</w:t>
      </w:r>
      <w:bookmarkEnd w:id="22"/>
      <w:bookmarkEnd w:id="23"/>
    </w:p>
    <w:p>
      <w:pPr>
        <w:spacing w:line="600" w:lineRule="exact"/>
        <w:ind w:firstLine="640" w:firstLineChars="200"/>
        <w:outlineLvl w:val="1"/>
        <w:rPr>
          <w:rFonts w:hint="eastAsia" w:ascii="仿宋" w:hAnsi="仿宋" w:eastAsia="仿宋"/>
          <w:b w:val="0"/>
          <w:bCs w:val="0"/>
          <w:sz w:val="32"/>
          <w:szCs w:val="32"/>
          <w:lang w:eastAsia="zh-CN"/>
        </w:rPr>
      </w:pPr>
      <w:r>
        <w:rPr>
          <w:rFonts w:hint="eastAsia" w:ascii="仿宋" w:hAnsi="仿宋" w:eastAsia="仿宋"/>
          <w:b w:val="0"/>
          <w:bCs w:val="0"/>
          <w:sz w:val="32"/>
          <w:szCs w:val="32"/>
        </w:rPr>
        <w:t>2023年度本年收入合计</w:t>
      </w:r>
      <w:r>
        <w:rPr>
          <w:rFonts w:ascii="仿宋" w:hAnsi="仿宋" w:eastAsia="仿宋"/>
          <w:b w:val="0"/>
          <w:bCs w:val="0"/>
          <w:sz w:val="32"/>
          <w:szCs w:val="32"/>
        </w:rPr>
        <w:t>3098.99</w:t>
      </w:r>
      <w:r>
        <w:rPr>
          <w:rFonts w:hint="eastAsia" w:ascii="仿宋" w:hAnsi="仿宋" w:eastAsia="仿宋"/>
          <w:b w:val="0"/>
          <w:bCs w:val="0"/>
          <w:sz w:val="32"/>
          <w:szCs w:val="32"/>
        </w:rPr>
        <w:t>万元，其中：一般公共预算财政拨款收入</w:t>
      </w:r>
      <w:r>
        <w:rPr>
          <w:rFonts w:ascii="仿宋" w:hAnsi="仿宋" w:eastAsia="仿宋"/>
          <w:b w:val="0"/>
          <w:bCs w:val="0"/>
          <w:sz w:val="32"/>
          <w:szCs w:val="32"/>
        </w:rPr>
        <w:t>3098.99</w:t>
      </w:r>
      <w:r>
        <w:rPr>
          <w:rFonts w:hint="eastAsia" w:ascii="仿宋" w:hAnsi="仿宋" w:eastAsia="仿宋"/>
          <w:b w:val="0"/>
          <w:bCs w:val="0"/>
          <w:sz w:val="32"/>
          <w:szCs w:val="32"/>
        </w:rPr>
        <w:t>万元，占</w:t>
      </w:r>
      <w:r>
        <w:rPr>
          <w:rFonts w:ascii="仿宋" w:hAnsi="仿宋" w:eastAsia="仿宋"/>
          <w:b w:val="0"/>
          <w:bCs w:val="0"/>
          <w:sz w:val="32"/>
          <w:szCs w:val="32"/>
        </w:rPr>
        <w:t>100%</w:t>
      </w:r>
      <w:r>
        <w:rPr>
          <w:rFonts w:hint="eastAsia" w:ascii="仿宋" w:hAnsi="仿宋" w:eastAsia="仿宋"/>
          <w:b w:val="0"/>
          <w:bCs w:val="0"/>
          <w:sz w:val="32"/>
          <w:szCs w:val="32"/>
          <w:lang w:eastAsia="zh-CN"/>
        </w:rPr>
        <w:t>。</w:t>
      </w:r>
    </w:p>
    <w:p>
      <w:pPr>
        <w:spacing w:line="600" w:lineRule="exact"/>
        <w:ind w:firstLine="642" w:firstLineChars="200"/>
        <w:outlineLvl w:val="1"/>
        <w:rPr>
          <w:rFonts w:ascii="仿宋" w:hAnsi="仿宋" w:eastAsia="仿宋"/>
          <w:b/>
          <w:sz w:val="32"/>
          <w:szCs w:val="32"/>
        </w:rPr>
      </w:pPr>
    </w:p>
    <w:p>
      <w:pPr>
        <w:pStyle w:val="2"/>
        <w:rPr>
          <w:rFonts w:ascii="仿宋" w:hAnsi="仿宋" w:eastAsia="仿宋"/>
          <w:sz w:val="32"/>
          <w:szCs w:val="32"/>
        </w:rPr>
      </w:pPr>
    </w:p>
    <w:p>
      <w:pPr>
        <w:rPr>
          <w:rFonts w:ascii="仿宋" w:hAnsi="仿宋" w:eastAsia="仿宋"/>
          <w:sz w:val="32"/>
          <w:szCs w:val="32"/>
        </w:rPr>
      </w:pPr>
    </w:p>
    <w:p>
      <w:pPr>
        <w:pStyle w:val="2"/>
      </w:pPr>
      <w:r>
        <w:drawing>
          <wp:inline distT="0" distB="0" distL="114300" distR="114300">
            <wp:extent cx="4572000" cy="2875915"/>
            <wp:effectExtent l="0" t="0" r="0" b="63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（图2：收入决算结构图）</w:t>
      </w:r>
    </w:p>
    <w:p>
      <w:pPr>
        <w:pStyle w:val="28"/>
        <w:numPr>
          <w:ilvl w:val="0"/>
          <w:numId w:val="2"/>
        </w:numPr>
        <w:spacing w:line="600" w:lineRule="exact"/>
        <w:ind w:firstLineChars="0"/>
        <w:outlineLvl w:val="1"/>
        <w:rPr>
          <w:rStyle w:val="30"/>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30"/>
          <w:rFonts w:hint="eastAsia" w:ascii="黑体" w:hAnsi="黑体" w:eastAsia="黑体"/>
          <w:b w:val="0"/>
        </w:rPr>
        <w:t>出决算情况说明</w:t>
      </w:r>
      <w:bookmarkEnd w:id="24"/>
      <w:bookmarkEnd w:id="25"/>
    </w:p>
    <w:p>
      <w:pPr>
        <w:spacing w:line="600" w:lineRule="exact"/>
        <w:ind w:firstLine="640" w:firstLineChars="200"/>
        <w:outlineLvl w:val="1"/>
        <w:rPr>
          <w:rFonts w:hint="eastAsia" w:ascii="仿宋" w:hAnsi="仿宋" w:eastAsia="仿宋"/>
          <w:b w:val="0"/>
          <w:bCs w:val="0"/>
          <w:sz w:val="32"/>
          <w:szCs w:val="32"/>
        </w:rPr>
      </w:pPr>
      <w:r>
        <w:rPr>
          <w:rFonts w:hint="eastAsia" w:ascii="仿宋" w:hAnsi="仿宋" w:eastAsia="仿宋"/>
          <w:b w:val="0"/>
          <w:bCs w:val="0"/>
          <w:sz w:val="32"/>
          <w:szCs w:val="32"/>
        </w:rPr>
        <w:t>2023年度本年支出合计</w:t>
      </w:r>
      <w:r>
        <w:rPr>
          <w:rFonts w:ascii="仿宋" w:hAnsi="仿宋" w:eastAsia="仿宋"/>
          <w:b w:val="0"/>
          <w:bCs w:val="0"/>
          <w:sz w:val="32"/>
          <w:szCs w:val="32"/>
        </w:rPr>
        <w:t>3098.99</w:t>
      </w:r>
      <w:r>
        <w:rPr>
          <w:rFonts w:hint="eastAsia" w:ascii="仿宋" w:hAnsi="仿宋" w:eastAsia="仿宋"/>
          <w:b w:val="0"/>
          <w:bCs w:val="0"/>
          <w:sz w:val="32"/>
          <w:szCs w:val="32"/>
        </w:rPr>
        <w:t>万元，其中：基本支出</w:t>
      </w:r>
      <w:r>
        <w:rPr>
          <w:rFonts w:ascii="仿宋" w:hAnsi="仿宋" w:eastAsia="仿宋"/>
          <w:b w:val="0"/>
          <w:bCs w:val="0"/>
          <w:sz w:val="32"/>
          <w:szCs w:val="32"/>
        </w:rPr>
        <w:t>1517.63</w:t>
      </w:r>
      <w:r>
        <w:rPr>
          <w:rFonts w:hint="eastAsia" w:ascii="仿宋" w:hAnsi="仿宋" w:eastAsia="仿宋"/>
          <w:b w:val="0"/>
          <w:bCs w:val="0"/>
          <w:sz w:val="32"/>
          <w:szCs w:val="32"/>
        </w:rPr>
        <w:t>万元，占</w:t>
      </w:r>
      <w:r>
        <w:rPr>
          <w:rFonts w:ascii="仿宋" w:hAnsi="仿宋" w:eastAsia="仿宋"/>
          <w:b w:val="0"/>
          <w:bCs w:val="0"/>
          <w:sz w:val="32"/>
          <w:szCs w:val="32"/>
        </w:rPr>
        <w:t>48.97%</w:t>
      </w:r>
      <w:r>
        <w:rPr>
          <w:rFonts w:hint="eastAsia" w:ascii="仿宋" w:hAnsi="仿宋" w:eastAsia="仿宋"/>
          <w:b w:val="0"/>
          <w:bCs w:val="0"/>
          <w:sz w:val="32"/>
          <w:szCs w:val="32"/>
        </w:rPr>
        <w:t>；项目支出</w:t>
      </w:r>
      <w:r>
        <w:rPr>
          <w:rFonts w:ascii="仿宋" w:hAnsi="仿宋" w:eastAsia="仿宋"/>
          <w:b w:val="0"/>
          <w:bCs w:val="0"/>
          <w:sz w:val="32"/>
          <w:szCs w:val="32"/>
        </w:rPr>
        <w:t>1581.36</w:t>
      </w:r>
      <w:r>
        <w:rPr>
          <w:rFonts w:hint="eastAsia" w:ascii="仿宋" w:hAnsi="仿宋" w:eastAsia="仿宋"/>
          <w:b w:val="0"/>
          <w:bCs w:val="0"/>
          <w:sz w:val="32"/>
          <w:szCs w:val="32"/>
        </w:rPr>
        <w:t>万元，占</w:t>
      </w:r>
      <w:r>
        <w:rPr>
          <w:rFonts w:ascii="仿宋" w:hAnsi="仿宋" w:eastAsia="仿宋"/>
          <w:b w:val="0"/>
          <w:bCs w:val="0"/>
          <w:sz w:val="32"/>
          <w:szCs w:val="32"/>
        </w:rPr>
        <w:t>51.0</w:t>
      </w:r>
      <w:r>
        <w:rPr>
          <w:rFonts w:hint="eastAsia" w:ascii="仿宋" w:hAnsi="仿宋" w:eastAsia="仿宋"/>
          <w:b w:val="0"/>
          <w:bCs w:val="0"/>
          <w:sz w:val="32"/>
          <w:szCs w:val="32"/>
          <w:lang w:val="en-US" w:eastAsia="zh-CN"/>
        </w:rPr>
        <w:t>3</w:t>
      </w:r>
      <w:r>
        <w:rPr>
          <w:rFonts w:ascii="仿宋" w:hAnsi="仿宋" w:eastAsia="仿宋"/>
          <w:b w:val="0"/>
          <w:bCs w:val="0"/>
          <w:sz w:val="32"/>
          <w:szCs w:val="32"/>
        </w:rPr>
        <w:t>%</w:t>
      </w:r>
      <w:r>
        <w:rPr>
          <w:rFonts w:hint="eastAsia" w:ascii="仿宋" w:hAnsi="仿宋" w:eastAsia="仿宋"/>
          <w:b w:val="0"/>
          <w:bCs w:val="0"/>
          <w:sz w:val="32"/>
          <w:szCs w:val="32"/>
        </w:rPr>
        <w:t>。</w:t>
      </w:r>
    </w:p>
    <w:p>
      <w:pPr>
        <w:pStyle w:val="2"/>
        <w:rPr>
          <w:rFonts w:hint="eastAsia" w:ascii="仿宋" w:hAnsi="仿宋" w:eastAsia="仿宋"/>
          <w:sz w:val="32"/>
          <w:szCs w:val="32"/>
        </w:rPr>
      </w:pPr>
      <w:r>
        <w:drawing>
          <wp:inline distT="0" distB="0" distL="114300" distR="114300">
            <wp:extent cx="4572000" cy="2743200"/>
            <wp:effectExtent l="0" t="0" r="0" b="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30"/>
          <w:rFonts w:ascii="黑体" w:hAnsi="黑体" w:eastAsia="黑体"/>
          <w:b w:val="0"/>
        </w:rPr>
      </w:pPr>
      <w:bookmarkStart w:id="26" w:name="_Toc15396606"/>
      <w:bookmarkStart w:id="27"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6"/>
      <w:bookmarkEnd w:id="27"/>
    </w:p>
    <w:p>
      <w:pPr>
        <w:spacing w:line="600" w:lineRule="exact"/>
        <w:ind w:firstLine="640"/>
        <w:rPr>
          <w:rFonts w:hint="eastAsia" w:ascii="仿宋" w:hAnsi="仿宋" w:eastAsia="仿宋"/>
          <w:b w:val="0"/>
          <w:bCs w:val="0"/>
          <w:sz w:val="32"/>
          <w:szCs w:val="32"/>
        </w:rPr>
      </w:pPr>
      <w:r>
        <w:rPr>
          <w:rFonts w:hint="eastAsia" w:ascii="仿宋" w:hAnsi="仿宋" w:eastAsia="仿宋"/>
          <w:b w:val="0"/>
          <w:bCs w:val="0"/>
          <w:sz w:val="32"/>
          <w:szCs w:val="32"/>
        </w:rPr>
        <w:t>2023年度财政拨款收、支总计均为</w:t>
      </w:r>
      <w:r>
        <w:rPr>
          <w:rFonts w:ascii="仿宋" w:hAnsi="仿宋" w:eastAsia="仿宋"/>
          <w:b w:val="0"/>
          <w:bCs w:val="0"/>
          <w:sz w:val="32"/>
          <w:szCs w:val="32"/>
        </w:rPr>
        <w:t>3098.99</w:t>
      </w:r>
      <w:r>
        <w:rPr>
          <w:rFonts w:hint="eastAsia" w:ascii="仿宋" w:hAnsi="仿宋" w:eastAsia="仿宋"/>
          <w:b w:val="0"/>
          <w:bCs w:val="0"/>
          <w:sz w:val="32"/>
          <w:szCs w:val="32"/>
        </w:rPr>
        <w:t>万元。与2022年度相比，财政拨款收、支总计各增加</w:t>
      </w:r>
      <w:r>
        <w:rPr>
          <w:rFonts w:hint="eastAsia" w:ascii="仿宋" w:hAnsi="仿宋" w:eastAsia="仿宋"/>
          <w:b w:val="0"/>
          <w:bCs w:val="0"/>
          <w:sz w:val="32"/>
          <w:szCs w:val="32"/>
          <w:lang w:val="en-US" w:eastAsia="zh-CN"/>
        </w:rPr>
        <w:t>892.12</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40.42</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sz w:val="32"/>
          <w:szCs w:val="32"/>
        </w:rPr>
        <w:t>2023年在岗职工人数增加15人，</w:t>
      </w:r>
      <w:r>
        <w:rPr>
          <w:rFonts w:hint="eastAsia" w:ascii="仿宋" w:hAnsi="仿宋" w:eastAsia="仿宋"/>
          <w:b w:val="0"/>
          <w:bCs/>
          <w:sz w:val="32"/>
          <w:szCs w:val="32"/>
          <w:lang w:eastAsia="zh-CN"/>
        </w:rPr>
        <w:t>人员及公用经费增加，且购置全自动核酸纯化仪、多重病原快速筛查鉴定系统等检验检测仪器设备。</w:t>
      </w:r>
    </w:p>
    <w:p>
      <w:r>
        <w:drawing>
          <wp:inline distT="0" distB="0" distL="114300" distR="114300">
            <wp:extent cx="4867275" cy="2476500"/>
            <wp:effectExtent l="0" t="0" r="952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30"/>
          <w:rFonts w:ascii="黑体" w:hAnsi="黑体" w:eastAsia="黑体"/>
          <w:b w:val="0"/>
        </w:rPr>
      </w:pPr>
      <w:bookmarkStart w:id="28" w:name="_Toc15396607"/>
      <w:bookmarkStart w:id="29"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8"/>
      <w:bookmarkEnd w:id="29"/>
    </w:p>
    <w:p>
      <w:pPr>
        <w:spacing w:line="600" w:lineRule="exact"/>
        <w:ind w:firstLine="642"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pPr>
        <w:spacing w:line="600" w:lineRule="exact"/>
        <w:ind w:firstLine="640"/>
        <w:rPr>
          <w:rFonts w:hint="eastAsia" w:ascii="仿宋" w:hAnsi="仿宋" w:eastAsia="仿宋"/>
          <w:b w:val="0"/>
          <w:bCs w:val="0"/>
          <w:sz w:val="32"/>
          <w:szCs w:val="32"/>
        </w:rPr>
      </w:pPr>
      <w:r>
        <w:rPr>
          <w:rFonts w:hint="eastAsia" w:ascii="仿宋" w:hAnsi="仿宋" w:eastAsia="仿宋"/>
          <w:b w:val="0"/>
          <w:bCs w:val="0"/>
          <w:sz w:val="32"/>
          <w:szCs w:val="32"/>
        </w:rPr>
        <w:t>2023年度一般公共预算财政拨款支出</w:t>
      </w:r>
      <w:r>
        <w:rPr>
          <w:rFonts w:ascii="仿宋" w:hAnsi="仿宋" w:eastAsia="仿宋"/>
          <w:b w:val="0"/>
          <w:bCs w:val="0"/>
          <w:sz w:val="32"/>
          <w:szCs w:val="32"/>
        </w:rPr>
        <w:t>3098.99</w:t>
      </w:r>
      <w:r>
        <w:rPr>
          <w:rFonts w:hint="eastAsia" w:ascii="仿宋" w:hAnsi="仿宋" w:eastAsia="仿宋"/>
          <w:b w:val="0"/>
          <w:bCs w:val="0"/>
          <w:sz w:val="32"/>
          <w:szCs w:val="32"/>
        </w:rPr>
        <w:t>万元，占本年支出合计的</w:t>
      </w:r>
      <w:r>
        <w:rPr>
          <w:rFonts w:ascii="仿宋" w:hAnsi="仿宋" w:eastAsia="仿宋"/>
          <w:b w:val="0"/>
          <w:bCs w:val="0"/>
          <w:sz w:val="32"/>
          <w:szCs w:val="32"/>
        </w:rPr>
        <w:t>100%</w:t>
      </w:r>
      <w:r>
        <w:rPr>
          <w:rFonts w:hint="eastAsia" w:ascii="仿宋" w:hAnsi="仿宋" w:eastAsia="仿宋"/>
          <w:b w:val="0"/>
          <w:bCs w:val="0"/>
          <w:sz w:val="32"/>
          <w:szCs w:val="32"/>
        </w:rPr>
        <w:t>。与2022年度相比，一般公共预算财政拨款支出增加</w:t>
      </w:r>
      <w:r>
        <w:rPr>
          <w:rFonts w:hint="eastAsia" w:ascii="仿宋" w:hAnsi="仿宋" w:eastAsia="仿宋"/>
          <w:b w:val="0"/>
          <w:bCs w:val="0"/>
          <w:sz w:val="32"/>
          <w:szCs w:val="32"/>
          <w:lang w:val="en-US" w:eastAsia="zh-CN"/>
        </w:rPr>
        <w:t>892.12</w:t>
      </w:r>
      <w:r>
        <w:rPr>
          <w:rFonts w:hint="eastAsia" w:ascii="仿宋" w:hAnsi="仿宋" w:eastAsia="仿宋"/>
          <w:b w:val="0"/>
          <w:bCs w:val="0"/>
          <w:sz w:val="32"/>
          <w:szCs w:val="32"/>
        </w:rPr>
        <w:t>万元，增长</w:t>
      </w:r>
      <w:r>
        <w:rPr>
          <w:rFonts w:hint="eastAsia" w:ascii="仿宋" w:hAnsi="仿宋" w:eastAsia="仿宋"/>
          <w:b w:val="0"/>
          <w:bCs w:val="0"/>
          <w:sz w:val="32"/>
          <w:szCs w:val="32"/>
          <w:lang w:val="en-US" w:eastAsia="zh-CN"/>
        </w:rPr>
        <w:t>40.42</w:t>
      </w:r>
      <w:r>
        <w:rPr>
          <w:rFonts w:ascii="仿宋" w:hAnsi="仿宋" w:eastAsia="仿宋"/>
          <w:b w:val="0"/>
          <w:bCs w:val="0"/>
          <w:sz w:val="32"/>
          <w:szCs w:val="32"/>
        </w:rPr>
        <w:t>%</w:t>
      </w:r>
      <w:r>
        <w:rPr>
          <w:rFonts w:hint="eastAsia" w:ascii="仿宋" w:hAnsi="仿宋" w:eastAsia="仿宋"/>
          <w:b w:val="0"/>
          <w:bCs w:val="0"/>
          <w:sz w:val="32"/>
          <w:szCs w:val="32"/>
        </w:rPr>
        <w:t>。主要变动原因是</w:t>
      </w:r>
      <w:r>
        <w:rPr>
          <w:rFonts w:hint="eastAsia" w:ascii="仿宋" w:hAnsi="仿宋" w:eastAsia="仿宋"/>
          <w:b w:val="0"/>
          <w:bCs/>
          <w:sz w:val="32"/>
          <w:szCs w:val="32"/>
        </w:rPr>
        <w:t>2023年在岗职工人数增加15人，</w:t>
      </w:r>
      <w:r>
        <w:rPr>
          <w:rFonts w:hint="eastAsia" w:ascii="仿宋" w:hAnsi="仿宋" w:eastAsia="仿宋"/>
          <w:b w:val="0"/>
          <w:bCs/>
          <w:sz w:val="32"/>
          <w:szCs w:val="32"/>
          <w:lang w:eastAsia="zh-CN"/>
        </w:rPr>
        <w:t>人员及公用经费增加，且购置全自动核酸纯化仪、多重病原快速筛查鉴定系统等检验检测仪器设备</w:t>
      </w:r>
      <w:r>
        <w:rPr>
          <w:rFonts w:hint="eastAsia" w:ascii="仿宋" w:hAnsi="仿宋" w:eastAsia="仿宋"/>
          <w:b w:val="0"/>
          <w:bCs w:val="0"/>
          <w:sz w:val="32"/>
          <w:szCs w:val="32"/>
        </w:rPr>
        <w:t>。</w:t>
      </w:r>
    </w:p>
    <w:p>
      <w:pPr>
        <w:pStyle w:val="2"/>
        <w:rPr>
          <w:rFonts w:hint="eastAsia"/>
        </w:rPr>
      </w:pPr>
      <w:r>
        <w:drawing>
          <wp:inline distT="0" distB="0" distL="114300" distR="114300">
            <wp:extent cx="4572000" cy="2885440"/>
            <wp:effectExtent l="0" t="0" r="0" b="1016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2" w:firstLineChars="200"/>
        <w:outlineLvl w:val="2"/>
        <w:rPr>
          <w:rFonts w:ascii="仿宋" w:hAnsi="仿宋" w:eastAsia="仿宋"/>
          <w:b/>
          <w:sz w:val="32"/>
          <w:szCs w:val="32"/>
        </w:rPr>
      </w:pPr>
      <w:bookmarkStart w:id="31" w:name="_Toc15377211"/>
      <w:r>
        <w:rPr>
          <w:rFonts w:hint="eastAsia" w:ascii="仿宋" w:hAnsi="仿宋" w:eastAsia="仿宋"/>
          <w:b/>
          <w:sz w:val="32"/>
          <w:szCs w:val="32"/>
        </w:rPr>
        <w:t>（二）一般公共预算财政拨款支出决算结构情况</w:t>
      </w:r>
      <w:bookmarkEnd w:id="31"/>
    </w:p>
    <w:p>
      <w:pPr>
        <w:spacing w:line="600" w:lineRule="exact"/>
        <w:ind w:firstLine="640"/>
        <w:rPr>
          <w:rFonts w:ascii="仿宋" w:hAnsi="仿宋" w:eastAsia="仿宋"/>
          <w:b w:val="0"/>
          <w:bCs w:val="0"/>
          <w:sz w:val="32"/>
          <w:szCs w:val="32"/>
        </w:rPr>
      </w:pPr>
      <w:r>
        <w:rPr>
          <w:rFonts w:hint="eastAsia" w:ascii="仿宋" w:hAnsi="仿宋" w:eastAsia="仿宋"/>
          <w:b w:val="0"/>
          <w:bCs w:val="0"/>
          <w:sz w:val="32"/>
          <w:szCs w:val="32"/>
        </w:rPr>
        <w:t>2023</w:t>
      </w:r>
      <w:r>
        <w:rPr>
          <w:rFonts w:hint="eastAsia" w:ascii="仿宋" w:hAnsi="仿宋" w:eastAsia="仿宋"/>
          <w:sz w:val="32"/>
          <w:szCs w:val="32"/>
        </w:rPr>
        <w:t>年度一般公共预算财政拨款支出</w:t>
      </w:r>
      <w:r>
        <w:rPr>
          <w:rFonts w:ascii="仿宋" w:hAnsi="仿宋" w:eastAsia="仿宋"/>
          <w:b w:val="0"/>
          <w:bCs/>
          <w:sz w:val="32"/>
          <w:szCs w:val="32"/>
        </w:rPr>
        <w:t>3098.99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3</w:t>
      </w:r>
      <w:r>
        <w:rPr>
          <w:rFonts w:hint="eastAsia" w:ascii="仿宋" w:hAnsi="仿宋" w:eastAsia="仿宋"/>
          <w:b w:val="0"/>
          <w:bCs w:val="0"/>
          <w:sz w:val="32"/>
          <w:szCs w:val="32"/>
        </w:rPr>
        <w:t>万</w:t>
      </w:r>
      <w:r>
        <w:rPr>
          <w:rFonts w:hint="eastAsia" w:ascii="仿宋" w:hAnsi="仿宋" w:eastAsia="仿宋"/>
          <w:sz w:val="32"/>
          <w:szCs w:val="32"/>
        </w:rPr>
        <w:t>元，占</w:t>
      </w:r>
      <w:r>
        <w:rPr>
          <w:rFonts w:hint="eastAsia" w:ascii="仿宋" w:hAnsi="仿宋" w:eastAsia="仿宋"/>
          <w:b w:val="0"/>
          <w:bCs w:val="0"/>
          <w:sz w:val="32"/>
          <w:szCs w:val="32"/>
          <w:lang w:val="en-US" w:eastAsia="zh-CN"/>
        </w:rPr>
        <w:t>0.1</w:t>
      </w:r>
      <w:r>
        <w:rPr>
          <w:rFonts w:ascii="仿宋" w:hAnsi="仿宋" w:eastAsia="仿宋"/>
          <w:b w:val="0"/>
          <w:bCs w:val="0"/>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148.71</w:t>
      </w:r>
      <w:r>
        <w:rPr>
          <w:rFonts w:hint="eastAsia" w:ascii="仿宋" w:hAnsi="仿宋" w:eastAsia="仿宋"/>
          <w:sz w:val="32"/>
          <w:szCs w:val="32"/>
        </w:rPr>
        <w:t>万元，占</w:t>
      </w:r>
      <w:r>
        <w:rPr>
          <w:rFonts w:hint="eastAsia" w:ascii="仿宋" w:hAnsi="仿宋" w:eastAsia="仿宋"/>
          <w:b w:val="0"/>
          <w:bCs w:val="0"/>
          <w:sz w:val="32"/>
          <w:szCs w:val="32"/>
          <w:lang w:val="en-US" w:eastAsia="zh-CN"/>
        </w:rPr>
        <w:t>4.8</w:t>
      </w:r>
      <w:r>
        <w:rPr>
          <w:rFonts w:ascii="仿宋" w:hAnsi="仿宋" w:eastAsia="仿宋"/>
          <w:b w:val="0"/>
          <w:bCs w:val="0"/>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val="0"/>
          <w:bCs w:val="0"/>
          <w:sz w:val="32"/>
          <w:szCs w:val="32"/>
        </w:rPr>
        <w:t>2947.28万元，占</w:t>
      </w:r>
      <w:r>
        <w:rPr>
          <w:rFonts w:hint="eastAsia" w:ascii="仿宋" w:hAnsi="仿宋" w:eastAsia="仿宋"/>
          <w:b w:val="0"/>
          <w:bCs w:val="0"/>
          <w:sz w:val="32"/>
          <w:szCs w:val="32"/>
          <w:lang w:val="en-US" w:eastAsia="zh-CN"/>
        </w:rPr>
        <w:t>95.1</w:t>
      </w:r>
      <w:r>
        <w:rPr>
          <w:rFonts w:ascii="仿宋" w:hAnsi="仿宋" w:eastAsia="仿宋"/>
          <w:b w:val="0"/>
          <w:bCs w:val="0"/>
          <w:sz w:val="32"/>
          <w:szCs w:val="32"/>
        </w:rPr>
        <w:t>%</w:t>
      </w:r>
      <w:r>
        <w:rPr>
          <w:rFonts w:hint="eastAsia" w:ascii="仿宋" w:hAnsi="仿宋" w:eastAsia="仿宋"/>
          <w:b w:val="0"/>
          <w:bCs w:val="0"/>
          <w:sz w:val="32"/>
          <w:szCs w:val="32"/>
        </w:rPr>
        <w:t>。</w:t>
      </w:r>
    </w:p>
    <w:p>
      <w:pPr>
        <w:spacing w:line="600" w:lineRule="exact"/>
        <w:ind w:firstLine="640"/>
        <w:rPr>
          <w:rFonts w:ascii="仿宋" w:hAnsi="仿宋" w:eastAsia="仿宋"/>
          <w:sz w:val="32"/>
          <w:szCs w:val="32"/>
        </w:rPr>
      </w:pPr>
    </w:p>
    <w:p>
      <w:pPr>
        <w:pStyle w:val="2"/>
        <w:rPr>
          <w:rFonts w:ascii="仿宋" w:hAnsi="仿宋" w:eastAsia="仿宋"/>
          <w:sz w:val="32"/>
          <w:szCs w:val="32"/>
        </w:rPr>
      </w:pPr>
      <w:r>
        <w:drawing>
          <wp:inline distT="0" distB="0" distL="114300" distR="114300">
            <wp:extent cx="4381500" cy="2743200"/>
            <wp:effectExtent l="0" t="0" r="0" b="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2"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pPr>
        <w:spacing w:line="600" w:lineRule="exact"/>
        <w:ind w:firstLine="642" w:firstLineChars="200"/>
        <w:outlineLvl w:val="2"/>
        <w:rPr>
          <w:rFonts w:ascii="仿宋" w:hAnsi="仿宋" w:eastAsia="仿宋"/>
          <w:sz w:val="32"/>
          <w:szCs w:val="32"/>
        </w:rPr>
      </w:pPr>
      <w:bookmarkStart w:id="33" w:name="_Toc15377213"/>
      <w:bookmarkStart w:id="34" w:name="_Toc15378460"/>
      <w:bookmarkStart w:id="35" w:name="_Toc15377444"/>
      <w:r>
        <w:rPr>
          <w:rFonts w:hint="eastAsia" w:ascii="仿宋" w:hAnsi="仿宋" w:eastAsia="仿宋"/>
          <w:b/>
          <w:sz w:val="32"/>
          <w:szCs w:val="32"/>
        </w:rPr>
        <w:t>2023年度一般公共预算支出决算数为</w:t>
      </w:r>
      <w:r>
        <w:rPr>
          <w:rFonts w:ascii="仿宋" w:hAnsi="仿宋" w:eastAsia="仿宋"/>
          <w:b/>
          <w:sz w:val="32"/>
          <w:szCs w:val="32"/>
        </w:rPr>
        <w:t>3098.99</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3"/>
      <w:bookmarkEnd w:id="34"/>
      <w:bookmarkEnd w:id="35"/>
    </w:p>
    <w:p>
      <w:pPr>
        <w:spacing w:line="600" w:lineRule="exact"/>
        <w:ind w:firstLine="642" w:firstLineChars="200"/>
        <w:rPr>
          <w:rFonts w:ascii="仿宋" w:hAnsi="仿宋" w:eastAsia="仿宋"/>
          <w:b/>
          <w:sz w:val="32"/>
          <w:szCs w:val="32"/>
        </w:rPr>
      </w:pPr>
      <w:r>
        <w:rPr>
          <w:rStyle w:val="18"/>
          <w:rFonts w:ascii="仿宋" w:hAnsi="仿宋" w:eastAsia="仿宋"/>
          <w:bCs/>
          <w:sz w:val="32"/>
          <w:szCs w:val="32"/>
        </w:rPr>
        <w:t>1.</w:t>
      </w:r>
      <w:r>
        <w:rPr>
          <w:rStyle w:val="18"/>
          <w:rFonts w:hint="eastAsia" w:ascii="仿宋" w:hAnsi="仿宋" w:eastAsia="仿宋"/>
          <w:bCs/>
          <w:sz w:val="32"/>
          <w:szCs w:val="32"/>
        </w:rPr>
        <w:t>一般公共服务支出（类）组织事务（款）其他组织事务支出（项）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rPr>
        <w:t>社会保障和就业</w:t>
      </w:r>
      <w:r>
        <w:rPr>
          <w:rStyle w:val="18"/>
          <w:rFonts w:hint="eastAsia" w:ascii="仿宋" w:hAnsi="仿宋" w:eastAsia="仿宋"/>
          <w:bCs/>
          <w:sz w:val="32"/>
          <w:szCs w:val="32"/>
          <w:lang w:eastAsia="zh-CN"/>
        </w:rPr>
        <w:t>支出</w:t>
      </w:r>
      <w:r>
        <w:rPr>
          <w:rStyle w:val="18"/>
          <w:rFonts w:hint="eastAsia" w:ascii="仿宋" w:hAnsi="仿宋" w:eastAsia="仿宋"/>
          <w:bCs/>
          <w:sz w:val="32"/>
          <w:szCs w:val="32"/>
        </w:rPr>
        <w:t>（类）行政事业单位养老支出（款）机关事业单位基本养老保险缴费支出（项）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支出决算为143.97万元，完成预算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rPr>
        <w:t>社会保障和就业</w:t>
      </w:r>
      <w:r>
        <w:rPr>
          <w:rStyle w:val="18"/>
          <w:rFonts w:hint="eastAsia" w:ascii="仿宋" w:hAnsi="仿宋" w:eastAsia="仿宋"/>
          <w:bCs/>
          <w:sz w:val="32"/>
          <w:szCs w:val="32"/>
          <w:lang w:eastAsia="zh-CN"/>
        </w:rPr>
        <w:t>支出</w:t>
      </w:r>
      <w:r>
        <w:rPr>
          <w:rStyle w:val="18"/>
          <w:rFonts w:hint="eastAsia" w:ascii="仿宋" w:hAnsi="仿宋" w:eastAsia="仿宋"/>
          <w:bCs/>
          <w:sz w:val="32"/>
          <w:szCs w:val="32"/>
        </w:rPr>
        <w:t>（类）社会福利（款）其他社会福利支出（项）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4.74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（类）卫生健康管理事务（款）其他卫生健康管理事务支出（项）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Fonts w:ascii="仿宋" w:hAnsi="仿宋" w:eastAsia="仿宋"/>
          <w:b/>
          <w:sz w:val="32"/>
          <w:szCs w:val="32"/>
        </w:rPr>
      </w:pPr>
      <w:r>
        <w:rPr>
          <w:rStyle w:val="18"/>
          <w:rFonts w:hint="eastAsia" w:ascii="仿宋" w:hAnsi="仿宋" w:eastAsia="仿宋"/>
          <w:bCs/>
          <w:sz w:val="32"/>
          <w:szCs w:val="32"/>
          <w:lang w:val="en-US" w:eastAsia="zh-CN"/>
        </w:rPr>
        <w:t>5</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（类）公共卫生（款）疾病预防控制机构（项）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1311.25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6</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（类）公共卫生（款）基本公共卫生服务（项）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78.03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（类）公共卫生（款）重大公共卫生服务（项）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812.25</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8</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（类）公共卫生（款）其他公共卫生支出（项）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9</w:t>
      </w:r>
      <w:r>
        <w:rPr>
          <w:rStyle w:val="18"/>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38.9</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spacing w:line="600" w:lineRule="exact"/>
        <w:ind w:firstLine="642"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10</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13.77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，决算数等于预算数的主要原因是按照预算执行支出。</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textAlignment w:val="auto"/>
        <w:rPr>
          <w:rStyle w:val="18"/>
          <w:rFonts w:hint="eastAsia" w:ascii="仿宋" w:hAnsi="仿宋" w:eastAsia="仿宋" w:cstheme="minorBidi"/>
          <w:b w:val="0"/>
          <w:bCs/>
          <w:kern w:val="2"/>
          <w:sz w:val="32"/>
          <w:szCs w:val="32"/>
          <w:lang w:val="en-US" w:eastAsia="zh-CN" w:bidi="ar-SA"/>
        </w:rPr>
      </w:pPr>
      <w:r>
        <w:rPr>
          <w:rStyle w:val="18"/>
          <w:rFonts w:hint="eastAsia" w:ascii="仿宋" w:hAnsi="仿宋" w:eastAsia="仿宋" w:cstheme="minorBidi"/>
          <w:bCs/>
          <w:kern w:val="2"/>
          <w:sz w:val="32"/>
          <w:szCs w:val="32"/>
          <w:lang w:val="en-US" w:eastAsia="zh-CN" w:bidi="ar-SA"/>
        </w:rPr>
        <w:t>11.</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8"/>
          <w:rFonts w:hint="eastAsia" w:ascii="仿宋" w:hAnsi="仿宋" w:eastAsia="仿宋" w:cstheme="minorBidi"/>
          <w:bCs/>
          <w:kern w:val="2"/>
          <w:sz w:val="32"/>
          <w:szCs w:val="32"/>
          <w:lang w:val="en-US" w:eastAsia="zh-CN" w:bidi="ar-SA"/>
        </w:rPr>
        <w:t>（类）其他卫生健康支出（款）其他卫生健康支出（项）:</w:t>
      </w:r>
      <w:r>
        <w:rPr>
          <w:rStyle w:val="18"/>
          <w:rFonts w:hint="eastAsia" w:ascii="仿宋" w:hAnsi="仿宋" w:eastAsia="仿宋" w:cstheme="minorBidi"/>
          <w:b w:val="0"/>
          <w:bCs/>
          <w:kern w:val="2"/>
          <w:sz w:val="32"/>
          <w:szCs w:val="32"/>
          <w:lang w:val="en-US" w:eastAsia="zh-CN" w:bidi="ar-SA"/>
        </w:rPr>
        <w:t>支出决算为668.08万元，完成预算100%，决算数等于预算数的主要原因是按照预算执行支出。</w:t>
      </w:r>
    </w:p>
    <w:p>
      <w:pPr>
        <w:tabs>
          <w:tab w:val="right" w:pos="8306"/>
        </w:tabs>
        <w:spacing w:line="600" w:lineRule="exact"/>
        <w:ind w:firstLine="640"/>
        <w:outlineLvl w:val="1"/>
        <w:rPr>
          <w:rStyle w:val="30"/>
        </w:rPr>
      </w:pPr>
      <w:bookmarkStart w:id="36" w:name="_Toc15377214"/>
      <w:bookmarkStart w:id="37"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6"/>
      <w:bookmarkEnd w:id="37"/>
      <w:r>
        <w:rPr>
          <w:rStyle w:val="30"/>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val="0"/>
          <w:bCs/>
          <w:sz w:val="32"/>
          <w:szCs w:val="32"/>
          <w:highlight w:val="none"/>
        </w:rPr>
        <w:t>1517.63</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val="0"/>
          <w:bCs/>
          <w:sz w:val="32"/>
          <w:szCs w:val="32"/>
          <w:highlight w:val="none"/>
        </w:rPr>
        <w:t>1319.3</w:t>
      </w:r>
      <w:r>
        <w:rPr>
          <w:rFonts w:hint="eastAsia" w:ascii="仿宋" w:hAnsi="仿宋" w:eastAsia="仿宋"/>
          <w:b w:val="0"/>
          <w:bCs/>
          <w:sz w:val="32"/>
          <w:szCs w:val="32"/>
          <w:highlight w:val="none"/>
          <w:lang w:val="en-US" w:eastAsia="zh-CN"/>
        </w:rPr>
        <w:t>8</w:t>
      </w:r>
      <w:r>
        <w:rPr>
          <w:rFonts w:hint="eastAsia" w:ascii="仿宋" w:hAnsi="仿宋" w:eastAsia="仿宋"/>
          <w:sz w:val="32"/>
          <w:szCs w:val="32"/>
        </w:rPr>
        <w:t>万元，主要包括：基本工资、津贴补贴、奖金、绩效工资、机关事业单位基本养老保险缴费</w:t>
      </w:r>
      <w:r>
        <w:rPr>
          <w:rFonts w:hint="eastAsia" w:ascii="仿宋" w:hAnsi="仿宋" w:eastAsia="仿宋"/>
          <w:sz w:val="32"/>
          <w:szCs w:val="32"/>
          <w:lang w:eastAsia="zh-CN"/>
        </w:rPr>
        <w:t>、</w:t>
      </w:r>
      <w:r>
        <w:rPr>
          <w:rFonts w:hint="eastAsia" w:ascii="仿宋" w:hAnsi="仿宋" w:eastAsia="仿宋"/>
          <w:sz w:val="32"/>
          <w:szCs w:val="32"/>
        </w:rPr>
        <w:t>职工基本医疗保险缴费</w:t>
      </w:r>
      <w:r>
        <w:rPr>
          <w:rFonts w:hint="eastAsia" w:ascii="仿宋" w:hAnsi="仿宋" w:eastAsia="仿宋"/>
          <w:sz w:val="32"/>
          <w:szCs w:val="32"/>
          <w:lang w:eastAsia="zh-CN"/>
        </w:rPr>
        <w:t>、公务员医疗补助缴费、</w:t>
      </w:r>
      <w:r>
        <w:rPr>
          <w:rFonts w:hint="eastAsia" w:ascii="仿宋" w:hAnsi="仿宋" w:eastAsia="仿宋"/>
          <w:sz w:val="32"/>
          <w:szCs w:val="32"/>
        </w:rPr>
        <w:t>其他社会保障缴费</w:t>
      </w:r>
      <w:r>
        <w:rPr>
          <w:rFonts w:hint="eastAsia" w:ascii="仿宋" w:hAnsi="仿宋" w:eastAsia="仿宋"/>
          <w:sz w:val="32"/>
          <w:szCs w:val="32"/>
          <w:lang w:eastAsia="zh-CN"/>
        </w:rPr>
        <w:t>、生活补助、奖励金、其他对个人和家庭的补助</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val="0"/>
          <w:bCs/>
          <w:sz w:val="32"/>
          <w:szCs w:val="32"/>
          <w:highlight w:val="none"/>
        </w:rPr>
        <w:t>198.25</w:t>
      </w:r>
      <w:r>
        <w:rPr>
          <w:rFonts w:hint="eastAsia" w:ascii="仿宋" w:hAnsi="仿宋" w:eastAsia="仿宋"/>
          <w:sz w:val="32"/>
          <w:szCs w:val="32"/>
        </w:rPr>
        <w:t>万元，主要包括：办公费、印刷费、水费、电费、邮电费、物业管理费、差旅费、维修（护）费、会议费、培训费、公务接待费、工会经费、福利费、公务用车运行维护费、其他交通费、其他商品和服务支出、办公设备购置。</w:t>
      </w:r>
    </w:p>
    <w:p>
      <w:pPr>
        <w:spacing w:line="600" w:lineRule="exact"/>
        <w:ind w:firstLine="640"/>
        <w:outlineLvl w:val="1"/>
        <w:rPr>
          <w:rStyle w:val="30"/>
          <w:rFonts w:ascii="黑体" w:hAnsi="黑体" w:eastAsia="黑体"/>
          <w:b w:val="0"/>
        </w:rPr>
      </w:pPr>
      <w:bookmarkStart w:id="38" w:name="_Toc15396609"/>
      <w:bookmarkStart w:id="39" w:name="_Toc15377215"/>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8"/>
      <w:bookmarkEnd w:id="39"/>
    </w:p>
    <w:p>
      <w:pPr>
        <w:spacing w:line="600" w:lineRule="exact"/>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pPr>
        <w:spacing w:line="600" w:lineRule="exact"/>
        <w:ind w:firstLine="640"/>
        <w:rPr>
          <w:rStyle w:val="18"/>
          <w:rFonts w:hint="eastAsia" w:ascii="仿宋" w:hAnsi="仿宋" w:eastAsia="仿宋"/>
          <w:b w:val="0"/>
          <w:bCs/>
          <w:sz w:val="32"/>
          <w:szCs w:val="32"/>
        </w:rPr>
      </w:pPr>
      <w:r>
        <w:rPr>
          <w:rFonts w:hint="eastAsia" w:ascii="仿宋" w:hAnsi="仿宋" w:eastAsia="仿宋"/>
          <w:sz w:val="32"/>
          <w:szCs w:val="32"/>
        </w:rPr>
        <w:t>2023年度“三公”经费财政拨款支出决算为</w:t>
      </w:r>
      <w:r>
        <w:rPr>
          <w:rFonts w:ascii="仿宋" w:hAnsi="仿宋" w:eastAsia="仿宋"/>
          <w:b w:val="0"/>
          <w:bCs/>
          <w:sz w:val="32"/>
          <w:szCs w:val="32"/>
        </w:rPr>
        <w:t>19.6</w:t>
      </w:r>
      <w:r>
        <w:rPr>
          <w:rFonts w:hint="eastAsia" w:ascii="仿宋" w:hAnsi="仿宋" w:eastAsia="仿宋"/>
          <w:b w:val="0"/>
          <w:bCs/>
          <w:sz w:val="32"/>
          <w:szCs w:val="32"/>
          <w:lang w:val="en-US" w:eastAsia="zh-CN"/>
        </w:rPr>
        <w:t>5</w:t>
      </w:r>
      <w:r>
        <w:rPr>
          <w:rFonts w:hint="eastAsia" w:ascii="仿宋" w:hAnsi="仿宋" w:eastAsia="仿宋"/>
          <w:sz w:val="32"/>
          <w:szCs w:val="32"/>
        </w:rPr>
        <w:t>万元，完成预算</w:t>
      </w:r>
      <w:r>
        <w:rPr>
          <w:rFonts w:ascii="仿宋" w:hAnsi="仿宋" w:eastAsia="仿宋"/>
          <w:b w:val="0"/>
          <w:bCs/>
          <w:sz w:val="32"/>
          <w:szCs w:val="32"/>
        </w:rPr>
        <w:t>100%</w:t>
      </w:r>
      <w:r>
        <w:rPr>
          <w:rFonts w:hint="eastAsia" w:ascii="仿宋" w:hAnsi="仿宋" w:eastAsia="仿宋"/>
          <w:sz w:val="32"/>
          <w:szCs w:val="32"/>
        </w:rPr>
        <w:t>，较上年度增加</w:t>
      </w:r>
      <w:r>
        <w:rPr>
          <w:rFonts w:hint="eastAsia" w:ascii="仿宋" w:hAnsi="仿宋" w:eastAsia="仿宋"/>
          <w:sz w:val="32"/>
          <w:szCs w:val="32"/>
          <w:lang w:val="en-US" w:eastAsia="zh-CN"/>
        </w:rPr>
        <w:t>4.91</w:t>
      </w:r>
      <w:r>
        <w:rPr>
          <w:rFonts w:hint="eastAsia" w:ascii="仿宋" w:hAnsi="仿宋" w:eastAsia="仿宋"/>
          <w:sz w:val="32"/>
          <w:szCs w:val="32"/>
        </w:rPr>
        <w:t>万元，增长</w:t>
      </w:r>
      <w:r>
        <w:rPr>
          <w:rFonts w:hint="eastAsia" w:ascii="仿宋" w:hAnsi="仿宋" w:eastAsia="仿宋"/>
          <w:sz w:val="32"/>
          <w:szCs w:val="32"/>
          <w:lang w:val="en-US" w:eastAsia="zh-CN"/>
        </w:rPr>
        <w:t>33.31</w:t>
      </w:r>
      <w:r>
        <w:rPr>
          <w:rFonts w:hint="eastAsia" w:ascii="仿宋" w:hAnsi="仿宋" w:eastAsia="仿宋"/>
          <w:sz w:val="32"/>
          <w:szCs w:val="32"/>
        </w:rPr>
        <w:t>%。决算数与预算数持平的主要原因是</w:t>
      </w:r>
      <w:r>
        <w:rPr>
          <w:rStyle w:val="18"/>
          <w:rFonts w:hint="eastAsia" w:ascii="仿宋" w:hAnsi="仿宋" w:eastAsia="仿宋"/>
          <w:b w:val="0"/>
          <w:bCs/>
          <w:sz w:val="32"/>
          <w:szCs w:val="32"/>
        </w:rPr>
        <w:t>按照预算执行支出。</w:t>
      </w:r>
    </w:p>
    <w:p>
      <w:pPr>
        <w:spacing w:line="600" w:lineRule="exact"/>
        <w:ind w:firstLine="640"/>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val="0"/>
          <w:bCs/>
          <w:sz w:val="32"/>
          <w:szCs w:val="32"/>
        </w:rPr>
        <w:t>0</w:t>
      </w:r>
      <w:r>
        <w:rPr>
          <w:rFonts w:hint="eastAsia" w:ascii="仿宋" w:hAnsi="仿宋" w:eastAsia="仿宋"/>
          <w:sz w:val="32"/>
          <w:szCs w:val="32"/>
        </w:rPr>
        <w:t>万元，占</w:t>
      </w:r>
      <w:r>
        <w:rPr>
          <w:rFonts w:ascii="仿宋" w:hAnsi="仿宋" w:eastAsia="仿宋"/>
          <w:b w:val="0"/>
          <w:bCs/>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val="0"/>
          <w:bCs/>
          <w:sz w:val="32"/>
          <w:szCs w:val="32"/>
        </w:rPr>
        <w:t>17.12</w:t>
      </w:r>
      <w:r>
        <w:rPr>
          <w:rFonts w:hint="eastAsia" w:ascii="仿宋" w:hAnsi="仿宋" w:eastAsia="仿宋"/>
          <w:sz w:val="32"/>
          <w:szCs w:val="32"/>
        </w:rPr>
        <w:t>万元，占</w:t>
      </w:r>
      <w:r>
        <w:rPr>
          <w:rFonts w:ascii="仿宋" w:hAnsi="仿宋" w:eastAsia="仿宋"/>
          <w:b w:val="0"/>
          <w:bCs/>
          <w:sz w:val="32"/>
          <w:szCs w:val="32"/>
        </w:rPr>
        <w:t>87.1</w:t>
      </w:r>
      <w:r>
        <w:rPr>
          <w:rFonts w:hint="eastAsia" w:ascii="仿宋" w:hAnsi="仿宋" w:eastAsia="仿宋"/>
          <w:b w:val="0"/>
          <w:bCs/>
          <w:sz w:val="32"/>
          <w:szCs w:val="32"/>
          <w:lang w:val="en-US" w:eastAsia="zh-CN"/>
        </w:rPr>
        <w:t>2</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val="0"/>
          <w:bCs/>
          <w:sz w:val="32"/>
          <w:szCs w:val="32"/>
        </w:rPr>
        <w:t>2.53</w:t>
      </w:r>
      <w:r>
        <w:rPr>
          <w:rFonts w:hint="eastAsia" w:ascii="仿宋" w:hAnsi="仿宋" w:eastAsia="仿宋"/>
          <w:sz w:val="32"/>
          <w:szCs w:val="32"/>
        </w:rPr>
        <w:t>万元，占</w:t>
      </w:r>
      <w:r>
        <w:rPr>
          <w:rFonts w:ascii="仿宋" w:hAnsi="仿宋" w:eastAsia="仿宋"/>
          <w:b w:val="0"/>
          <w:bCs/>
          <w:sz w:val="32"/>
          <w:szCs w:val="32"/>
        </w:rPr>
        <w:t>12.8</w:t>
      </w:r>
      <w:r>
        <w:rPr>
          <w:rFonts w:hint="eastAsia" w:ascii="仿宋" w:hAnsi="仿宋" w:eastAsia="仿宋"/>
          <w:b w:val="0"/>
          <w:bCs/>
          <w:sz w:val="32"/>
          <w:szCs w:val="32"/>
          <w:lang w:val="en-US" w:eastAsia="zh-CN"/>
        </w:rPr>
        <w:t>8</w:t>
      </w:r>
      <w:r>
        <w:rPr>
          <w:rFonts w:ascii="仿宋" w:hAnsi="仿宋" w:eastAsia="仿宋"/>
          <w:sz w:val="32"/>
          <w:szCs w:val="32"/>
        </w:rPr>
        <w:t>%</w:t>
      </w:r>
      <w:r>
        <w:rPr>
          <w:rFonts w:hint="eastAsia" w:ascii="仿宋" w:hAnsi="仿宋" w:eastAsia="仿宋"/>
          <w:sz w:val="32"/>
          <w:szCs w:val="32"/>
        </w:rPr>
        <w:t>。具体情况如下：</w:t>
      </w:r>
    </w:p>
    <w:p>
      <w:pPr>
        <w:rPr>
          <w:rFonts w:hint="eastAsia" w:ascii="仿宋" w:hAnsi="仿宋" w:eastAsia="仿宋"/>
          <w:sz w:val="32"/>
          <w:szCs w:val="32"/>
        </w:rPr>
      </w:pPr>
      <w:r>
        <w:drawing>
          <wp:inline distT="0" distB="0" distL="114300" distR="114300">
            <wp:extent cx="4572000" cy="2743200"/>
            <wp:effectExtent l="0" t="0" r="0" b="0"/>
            <wp:docPr id="1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jc w:val="center"/>
        <w:rPr>
          <w:rFonts w:hint="eastAsia" w:ascii="仿宋" w:hAnsi="仿宋" w:eastAsia="仿宋"/>
          <w:sz w:val="32"/>
          <w:szCs w:val="32"/>
        </w:rPr>
      </w:pPr>
      <w:r>
        <w:rPr>
          <w:rFonts w:hint="eastAsia" w:ascii="仿宋" w:hAnsi="仿宋" w:eastAsia="仿宋"/>
          <w:sz w:val="32"/>
          <w:szCs w:val="32"/>
        </w:rPr>
        <w:t>（图7：“三公”经费财政拨款支出结构）</w:t>
      </w:r>
      <w:bookmarkStart w:id="42" w:name="_Toc15396610"/>
      <w:bookmarkStart w:id="43" w:name="_Toc15377218"/>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val="0"/>
          <w:bCs/>
          <w:sz w:val="32"/>
          <w:szCs w:val="32"/>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val="0"/>
          <w:sz w:val="32"/>
          <w:szCs w:val="32"/>
        </w:rPr>
        <w:t>0%</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val="0"/>
          <w:bCs/>
          <w:sz w:val="32"/>
          <w:szCs w:val="32"/>
        </w:rPr>
        <w:t>0</w:t>
      </w:r>
      <w:r>
        <w:rPr>
          <w:rFonts w:hint="eastAsia" w:ascii="仿宋_GB2312" w:eastAsia="仿宋_GB2312"/>
          <w:sz w:val="32"/>
          <w:szCs w:val="32"/>
        </w:rPr>
        <w:t>次，出国（境）</w:t>
      </w:r>
      <w:r>
        <w:rPr>
          <w:rFonts w:ascii="仿宋_GB2312" w:eastAsia="仿宋_GB2312"/>
          <w:b w:val="0"/>
          <w:bCs/>
          <w:sz w:val="32"/>
          <w:szCs w:val="32"/>
        </w:rPr>
        <w:t>0</w:t>
      </w:r>
      <w:r>
        <w:rPr>
          <w:rFonts w:hint="eastAsia" w:ascii="仿宋_GB2312" w:eastAsia="仿宋_GB2312"/>
          <w:sz w:val="32"/>
          <w:szCs w:val="32"/>
        </w:rPr>
        <w:t>人。因公出国（境）支出决算</w:t>
      </w:r>
      <w:r>
        <w:rPr>
          <w:rFonts w:hint="eastAsia" w:ascii="仿宋_GB2312" w:eastAsia="仿宋_GB2312"/>
          <w:sz w:val="32"/>
          <w:szCs w:val="32"/>
          <w:lang w:eastAsia="zh-CN"/>
        </w:rPr>
        <w:t>与</w:t>
      </w:r>
      <w:r>
        <w:rPr>
          <w:rFonts w:hint="eastAsia" w:ascii="仿宋_GB2312" w:eastAsia="仿宋_GB2312"/>
          <w:sz w:val="32"/>
          <w:szCs w:val="32"/>
        </w:rPr>
        <w:t>2022年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均未安排因公出国（境）</w:t>
      </w:r>
      <w:r>
        <w:rPr>
          <w:rFonts w:hint="eastAsia" w:ascii="仿宋_GB2312" w:eastAsia="仿宋_GB2312"/>
          <w:sz w:val="32"/>
          <w:szCs w:val="32"/>
        </w:rPr>
        <w:t>。</w:t>
      </w:r>
    </w:p>
    <w:p>
      <w:pPr>
        <w:spacing w:line="600" w:lineRule="exact"/>
        <w:ind w:firstLine="640"/>
        <w:rPr>
          <w:rFonts w:hint="eastAsia" w:ascii="仿宋_GB2312" w:eastAsia="仿宋_GB2312"/>
          <w:b/>
          <w:sz w:val="32"/>
          <w:szCs w:val="32"/>
          <w:highlight w:val="none"/>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val="0"/>
          <w:bCs/>
          <w:sz w:val="32"/>
          <w:szCs w:val="32"/>
        </w:rPr>
        <w:t>17.12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val="0"/>
          <w:sz w:val="32"/>
          <w:szCs w:val="32"/>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3.43</w:t>
      </w:r>
      <w:r>
        <w:rPr>
          <w:rFonts w:hint="eastAsia" w:ascii="仿宋_GB2312" w:eastAsia="仿宋_GB2312"/>
          <w:sz w:val="32"/>
          <w:szCs w:val="32"/>
        </w:rPr>
        <w:t>万元，增长</w:t>
      </w:r>
      <w:r>
        <w:rPr>
          <w:rFonts w:hint="eastAsia" w:ascii="仿宋_GB2312" w:eastAsia="仿宋_GB2312"/>
          <w:sz w:val="32"/>
          <w:szCs w:val="32"/>
          <w:lang w:val="en-US" w:eastAsia="zh-CN"/>
        </w:rPr>
        <w:t>25.06</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2023年项目工作增加，督导、检查、培训、采样等工作增加，</w:t>
      </w:r>
      <w:r>
        <w:rPr>
          <w:rFonts w:hint="eastAsia" w:ascii="仿宋_GB2312" w:eastAsia="仿宋_GB2312"/>
          <w:sz w:val="32"/>
          <w:szCs w:val="32"/>
          <w:highlight w:val="none"/>
        </w:rPr>
        <w:t>公务用车次数增加</w:t>
      </w:r>
      <w:r>
        <w:rPr>
          <w:rFonts w:hint="eastAsia" w:ascii="仿宋_GB2312" w:eastAsia="仿宋_GB2312"/>
          <w:sz w:val="32"/>
          <w:szCs w:val="32"/>
          <w:highlight w:val="none"/>
          <w:lang w:eastAsia="zh-CN"/>
        </w:rPr>
        <w:t>，公务车辆油费、过路费等增加。</w:t>
      </w:r>
    </w:p>
    <w:p>
      <w:pPr>
        <w:spacing w:line="600" w:lineRule="exact"/>
        <w:ind w:firstLine="640" w:firstLineChars="200"/>
        <w:rPr>
          <w:rFonts w:hint="eastAsia" w:ascii="仿宋_GB2312" w:hAnsi="Times New Roman" w:eastAsia="仿宋_GB2312" w:cs="Times New Roman"/>
          <w:sz w:val="32"/>
          <w:szCs w:val="32"/>
          <w:highlight w:val="none"/>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val="0"/>
          <w:bCs/>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辆，比202</w:t>
      </w:r>
      <w:r>
        <w:rPr>
          <w:rFonts w:hint="eastAsia" w:ascii="仿宋_GB2312" w:eastAsia="仿宋_GB2312"/>
          <w:sz w:val="32"/>
          <w:szCs w:val="32"/>
          <w:lang w:val="en-US" w:eastAsia="zh-CN"/>
        </w:rPr>
        <w:t>2</w:t>
      </w:r>
      <w:r>
        <w:rPr>
          <w:rFonts w:hint="eastAsia" w:ascii="仿宋_GB2312" w:eastAsia="仿宋_GB2312"/>
          <w:sz w:val="32"/>
          <w:szCs w:val="32"/>
        </w:rPr>
        <w:t>年增加0万元，增长0%，主要原因是未安排公务用车购置经费。截至2023年</w:t>
      </w:r>
      <w:r>
        <w:rPr>
          <w:rFonts w:ascii="仿宋_GB2312" w:eastAsia="仿宋_GB2312"/>
          <w:sz w:val="32"/>
          <w:szCs w:val="32"/>
        </w:rPr>
        <w:t>12</w:t>
      </w:r>
      <w:r>
        <w:rPr>
          <w:rFonts w:hint="eastAsia" w:ascii="仿宋_GB2312" w:eastAsia="仿宋_GB2312"/>
          <w:sz w:val="32"/>
          <w:szCs w:val="32"/>
        </w:rPr>
        <w:t>月31日，</w:t>
      </w:r>
      <w:r>
        <w:rPr>
          <w:rFonts w:hint="eastAsia" w:ascii="仿宋_GB2312" w:hAnsi="Times New Roman" w:eastAsia="仿宋_GB2312" w:cs="Times New Roman"/>
          <w:sz w:val="32"/>
          <w:szCs w:val="32"/>
        </w:rPr>
        <w:t>单位共有公务用车</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辆，其中：</w:t>
      </w:r>
      <w:r>
        <w:rPr>
          <w:rFonts w:hint="eastAsia" w:ascii="仿宋_GB2312" w:hAnsi="Times New Roman" w:eastAsia="仿宋_GB2312" w:cs="Times New Roman"/>
          <w:sz w:val="32"/>
          <w:szCs w:val="32"/>
          <w:highlight w:val="none"/>
        </w:rPr>
        <w:t>轿车</w:t>
      </w:r>
      <w:r>
        <w:rPr>
          <w:rFonts w:hint="eastAsia" w:ascii="仿宋_GB2312" w:hAnsi="Times New Roman" w:eastAsia="仿宋_GB2312" w:cs="Times New Roman"/>
          <w:sz w:val="32"/>
          <w:szCs w:val="32"/>
          <w:highlight w:val="none"/>
          <w:lang w:val="en-US" w:eastAsia="zh-CN"/>
        </w:rPr>
        <w:t>1</w:t>
      </w:r>
      <w:r>
        <w:rPr>
          <w:rFonts w:hint="eastAsia" w:ascii="仿宋_GB2312" w:hAnsi="Times New Roman" w:eastAsia="仿宋_GB2312" w:cs="Times New Roman"/>
          <w:sz w:val="32"/>
          <w:szCs w:val="32"/>
          <w:highlight w:val="none"/>
        </w:rPr>
        <w:t>辆、</w:t>
      </w:r>
      <w:r>
        <w:rPr>
          <w:rFonts w:hint="default" w:ascii="仿宋_GB2312" w:hAnsi="Times New Roman" w:eastAsia="仿宋_GB2312" w:cs="Times New Roman"/>
          <w:sz w:val="32"/>
          <w:szCs w:val="32"/>
          <w:highlight w:val="none"/>
        </w:rPr>
        <w:t>特种专业技术用车4辆</w:t>
      </w:r>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越野车</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辆、载客汽车</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val="0"/>
          <w:bCs/>
          <w:sz w:val="32"/>
          <w:szCs w:val="32"/>
        </w:rPr>
        <w:t>17.12</w:t>
      </w:r>
      <w:r>
        <w:rPr>
          <w:rFonts w:hint="eastAsia" w:ascii="仿宋_GB2312" w:eastAsia="仿宋_GB2312"/>
          <w:sz w:val="32"/>
          <w:szCs w:val="32"/>
        </w:rPr>
        <w:t>万元。主要用于地方病、职业病</w:t>
      </w:r>
      <w:r>
        <w:rPr>
          <w:rFonts w:hint="eastAsia" w:ascii="仿宋_GB2312" w:eastAsia="仿宋_GB2312"/>
          <w:sz w:val="32"/>
          <w:szCs w:val="32"/>
          <w:lang w:eastAsia="zh-CN"/>
        </w:rPr>
        <w:t>、艾滋病防治、结核病防治</w:t>
      </w:r>
      <w:r>
        <w:rPr>
          <w:rFonts w:hint="eastAsia" w:ascii="仿宋_GB2312" w:eastAsia="仿宋_GB2312"/>
          <w:sz w:val="32"/>
          <w:szCs w:val="32"/>
        </w:rPr>
        <w:t>等疾病</w:t>
      </w:r>
      <w:r>
        <w:rPr>
          <w:rFonts w:hint="eastAsia" w:ascii="仿宋_GB2312" w:eastAsia="仿宋_GB2312"/>
          <w:sz w:val="32"/>
          <w:szCs w:val="32"/>
          <w:lang w:eastAsia="zh-CN"/>
        </w:rPr>
        <w:t>防治及食品安全风险监测采样、送样等疾病监测</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val="0"/>
          <w:bCs/>
          <w:sz w:val="32"/>
          <w:szCs w:val="32"/>
        </w:rPr>
        <w:t>2.53</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ascii="仿宋" w:hAnsi="仿宋" w:eastAsia="仿宋"/>
          <w:b w:val="0"/>
          <w:bCs/>
          <w:sz w:val="32"/>
          <w:szCs w:val="32"/>
        </w:rPr>
        <w:t>100%</w:t>
      </w:r>
      <w:r>
        <w:rPr>
          <w:rStyle w:val="18"/>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1.48</w:t>
      </w:r>
      <w:r>
        <w:rPr>
          <w:rFonts w:hint="eastAsia" w:ascii="仿宋_GB2312" w:eastAsia="仿宋_GB2312"/>
          <w:sz w:val="32"/>
          <w:szCs w:val="32"/>
        </w:rPr>
        <w:t>万元，增长</w:t>
      </w:r>
      <w:r>
        <w:rPr>
          <w:rFonts w:hint="eastAsia" w:ascii="仿宋_GB2312" w:eastAsia="仿宋_GB2312"/>
          <w:sz w:val="32"/>
          <w:szCs w:val="32"/>
          <w:lang w:val="en-US" w:eastAsia="zh-CN"/>
        </w:rPr>
        <w:t>140.9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2023年其他市州来单位交流、学习及上级检查、指导人数、次数增多，公务接待支出费用相应增加。</w:t>
      </w:r>
      <w:r>
        <w:rPr>
          <w:rFonts w:hint="eastAsia" w:ascii="仿宋_GB2312" w:eastAsia="仿宋_GB2312"/>
          <w:sz w:val="32"/>
          <w:szCs w:val="32"/>
          <w:highlight w:val="none"/>
        </w:rPr>
        <w:t>其中</w:t>
      </w:r>
      <w:r>
        <w:rPr>
          <w:rFonts w:hint="eastAsia" w:ascii="仿宋_GB2312" w:eastAsia="仿宋_GB2312"/>
          <w:sz w:val="32"/>
          <w:szCs w:val="32"/>
        </w:rPr>
        <w:t>：</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val="0"/>
          <w:bCs/>
          <w:sz w:val="32"/>
          <w:szCs w:val="32"/>
        </w:rPr>
        <w:t>2.53</w:t>
      </w:r>
      <w:r>
        <w:rPr>
          <w:rFonts w:hint="eastAsia" w:ascii="仿宋_GB2312" w:eastAsia="仿宋_GB2312"/>
          <w:sz w:val="32"/>
          <w:szCs w:val="32"/>
        </w:rPr>
        <w:t>万元，主要用于执行公务、开展业务活动开支的的交通费、住宿费、用餐费等。国内公务接待</w:t>
      </w:r>
      <w:r>
        <w:rPr>
          <w:rFonts w:hint="eastAsia" w:ascii="仿宋_GB2312" w:eastAsia="仿宋_GB2312"/>
          <w:sz w:val="32"/>
          <w:szCs w:val="32"/>
          <w:lang w:val="en-US" w:eastAsia="zh-CN"/>
        </w:rPr>
        <w:t>29</w:t>
      </w:r>
      <w:r>
        <w:rPr>
          <w:rFonts w:hint="eastAsia" w:ascii="仿宋_GB2312" w:eastAsia="仿宋_GB2312"/>
          <w:sz w:val="32"/>
          <w:szCs w:val="32"/>
        </w:rPr>
        <w:t>批次，</w:t>
      </w:r>
      <w:r>
        <w:rPr>
          <w:rFonts w:hint="eastAsia" w:ascii="仿宋_GB2312" w:eastAsia="仿宋_GB2312"/>
          <w:sz w:val="32"/>
          <w:szCs w:val="32"/>
          <w:lang w:val="en-US" w:eastAsia="zh-CN"/>
        </w:rPr>
        <w:t>149</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2.53</w:t>
      </w:r>
      <w:r>
        <w:rPr>
          <w:rFonts w:hint="eastAsia" w:ascii="仿宋_GB2312" w:eastAsia="仿宋_GB2312"/>
          <w:sz w:val="32"/>
          <w:szCs w:val="32"/>
        </w:rPr>
        <w:t>万元，具体内容包括：接待上级以及其他市州等交流学习、检查指导相关人员</w:t>
      </w:r>
      <w:r>
        <w:rPr>
          <w:rFonts w:hint="eastAsia" w:ascii="仿宋_GB2312" w:eastAsia="仿宋_GB2312"/>
          <w:sz w:val="32"/>
          <w:szCs w:val="32"/>
          <w:lang w:val="en-US" w:eastAsia="zh-CN"/>
        </w:rPr>
        <w:t>2.53</w:t>
      </w:r>
      <w:r>
        <w:rPr>
          <w:rFonts w:hint="eastAsia" w:ascii="仿宋_GB2312" w:eastAsia="仿宋_GB2312"/>
          <w:sz w:val="32"/>
          <w:szCs w:val="32"/>
        </w:rPr>
        <w:t>万元。</w:t>
      </w:r>
    </w:p>
    <w:p>
      <w:pPr>
        <w:spacing w:line="600" w:lineRule="exact"/>
        <w:ind w:firstLine="642"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ascii="仿宋" w:hAnsi="仿宋" w:eastAsia="仿宋"/>
          <w:b w:val="0"/>
          <w:bCs/>
          <w:sz w:val="32"/>
          <w:szCs w:val="32"/>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，比202</w:t>
      </w:r>
      <w:r>
        <w:rPr>
          <w:rFonts w:hint="eastAsia" w:ascii="仿宋_GB2312" w:eastAsia="仿宋_GB2312"/>
          <w:sz w:val="32"/>
          <w:szCs w:val="32"/>
          <w:lang w:val="en-US" w:eastAsia="zh-CN"/>
        </w:rPr>
        <w:t>2</w:t>
      </w:r>
      <w:r>
        <w:rPr>
          <w:rFonts w:hint="eastAsia" w:ascii="仿宋_GB2312" w:eastAsia="仿宋_GB2312"/>
          <w:sz w:val="32"/>
          <w:szCs w:val="32"/>
          <w:lang w:eastAsia="zh-CN"/>
        </w:rPr>
        <w:t>年增加0万元，增加0%，主要原因是未安排外事接待。</w:t>
      </w:r>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val="0"/>
          <w:bCs/>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44" w:name="_Toc15377219"/>
      <w:bookmarkStart w:id="45" w:name="_Toc15396611"/>
      <w:r>
        <w:rPr>
          <w:rStyle w:val="30"/>
          <w:rFonts w:hint="eastAsia" w:ascii="黑体" w:hAnsi="黑体" w:eastAsia="黑体"/>
          <w:b w:val="0"/>
        </w:rPr>
        <w:t>国有资本经营预算支出决算情况说明</w:t>
      </w:r>
      <w:bookmarkEnd w:id="44"/>
      <w:bookmarkEnd w:id="45"/>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val="0"/>
          <w:bCs/>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30"/>
          <w:rFonts w:ascii="黑体" w:hAnsi="黑体" w:eastAsia="黑体"/>
          <w:b w:val="0"/>
        </w:rPr>
      </w:pPr>
      <w:bookmarkStart w:id="46" w:name="_Toc15377221"/>
      <w:bookmarkStart w:id="47" w:name="_Toc15396612"/>
      <w:r>
        <w:rPr>
          <w:rStyle w:val="30"/>
          <w:rFonts w:hint="eastAsia" w:ascii="黑体" w:hAnsi="黑体" w:eastAsia="黑体"/>
          <w:b w:val="0"/>
        </w:rPr>
        <w:t>其他重要事项的情况说明</w:t>
      </w:r>
      <w:bookmarkEnd w:id="46"/>
      <w:bookmarkEnd w:id="47"/>
    </w:p>
    <w:p>
      <w:pPr>
        <w:spacing w:line="600" w:lineRule="exact"/>
        <w:ind w:firstLine="642"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eastAsia="仿宋_GB2312"/>
          <w:b w:val="0"/>
          <w:bCs w:val="0"/>
          <w:sz w:val="32"/>
          <w:szCs w:val="32"/>
        </w:rPr>
        <w:t>，</w:t>
      </w:r>
      <w:r>
        <w:rPr>
          <w:rFonts w:ascii="仿宋_GB2312" w:eastAsia="仿宋_GB2312"/>
          <w:b w:val="0"/>
          <w:bCs/>
          <w:sz w:val="32"/>
          <w:szCs w:val="32"/>
        </w:rPr>
        <w:t>广安市疾病预防控制中心</w:t>
      </w:r>
      <w:r>
        <w:rPr>
          <w:rFonts w:hint="eastAsia" w:ascii="仿宋_GB2312" w:eastAsia="仿宋_GB2312"/>
          <w:sz w:val="32"/>
          <w:szCs w:val="32"/>
        </w:rPr>
        <w:t>机关运行经费支出</w:t>
      </w:r>
      <w:r>
        <w:rPr>
          <w:rFonts w:ascii="仿宋" w:hAnsi="仿宋" w:eastAsia="仿宋"/>
          <w:b w:val="0"/>
          <w:bCs/>
          <w:sz w:val="32"/>
          <w:szCs w:val="32"/>
        </w:rPr>
        <w:t>0</w:t>
      </w:r>
      <w:r>
        <w:rPr>
          <w:rFonts w:hint="eastAsia" w:ascii="仿宋_GB2312" w:eastAsia="仿宋_GB2312"/>
          <w:sz w:val="32"/>
          <w:szCs w:val="32"/>
        </w:rPr>
        <w:t>万元，与2022年度决算数持平。主要原因是广安市疾病预防控制中心为事业单位，未安排机关运行经费。</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val="0"/>
          <w:bCs/>
          <w:sz w:val="32"/>
          <w:szCs w:val="32"/>
        </w:rPr>
        <w:t>广安市疾病预防控制中心</w:t>
      </w:r>
      <w:r>
        <w:rPr>
          <w:rFonts w:hint="eastAsia" w:ascii="仿宋_GB2312" w:eastAsia="仿宋_GB2312"/>
          <w:sz w:val="32"/>
          <w:szCs w:val="32"/>
        </w:rPr>
        <w:t>政府采购支出总额</w:t>
      </w:r>
      <w:r>
        <w:rPr>
          <w:rFonts w:ascii="仿宋" w:hAnsi="仿宋" w:eastAsia="仿宋"/>
          <w:b w:val="0"/>
          <w:bCs/>
          <w:sz w:val="32"/>
          <w:szCs w:val="32"/>
        </w:rPr>
        <w:t>672.36</w:t>
      </w:r>
      <w:r>
        <w:rPr>
          <w:rFonts w:hint="eastAsia" w:ascii="仿宋_GB2312" w:eastAsia="仿宋_GB2312"/>
          <w:sz w:val="32"/>
          <w:szCs w:val="32"/>
        </w:rPr>
        <w:t>万元，其中：政府采购货物支出</w:t>
      </w:r>
      <w:r>
        <w:rPr>
          <w:rFonts w:ascii="仿宋" w:hAnsi="仿宋" w:eastAsia="仿宋"/>
          <w:b w:val="0"/>
          <w:bCs/>
          <w:sz w:val="32"/>
          <w:szCs w:val="32"/>
        </w:rPr>
        <w:t>672.36</w:t>
      </w:r>
      <w:r>
        <w:rPr>
          <w:rFonts w:hint="eastAsia" w:ascii="仿宋_GB2312" w:eastAsia="仿宋_GB2312"/>
          <w:sz w:val="32"/>
          <w:szCs w:val="32"/>
        </w:rPr>
        <w:t>万元、政府采购工程支出</w:t>
      </w:r>
      <w:r>
        <w:rPr>
          <w:rFonts w:ascii="仿宋" w:hAnsi="仿宋" w:eastAsia="仿宋"/>
          <w:b w:val="0"/>
          <w:bCs/>
          <w:sz w:val="32"/>
          <w:szCs w:val="32"/>
        </w:rPr>
        <w:t>0</w:t>
      </w:r>
      <w:r>
        <w:rPr>
          <w:rFonts w:hint="eastAsia" w:ascii="仿宋_GB2312" w:eastAsia="仿宋_GB2312"/>
          <w:sz w:val="32"/>
          <w:szCs w:val="32"/>
        </w:rPr>
        <w:t>万元、政府采购服务支出</w:t>
      </w:r>
      <w:r>
        <w:rPr>
          <w:rFonts w:ascii="仿宋" w:hAnsi="仿宋" w:eastAsia="仿宋"/>
          <w:b w:val="0"/>
          <w:bCs/>
          <w:sz w:val="32"/>
          <w:szCs w:val="32"/>
        </w:rPr>
        <w:t>0</w:t>
      </w:r>
      <w:r>
        <w:rPr>
          <w:rFonts w:hint="eastAsia" w:ascii="仿宋_GB2312" w:eastAsia="仿宋_GB2312"/>
          <w:sz w:val="32"/>
          <w:szCs w:val="32"/>
        </w:rPr>
        <w:t>万元。主要用于艾滋、结核、疟疾等疾病防控检测试剂耗材购置</w:t>
      </w:r>
      <w:r>
        <w:rPr>
          <w:rFonts w:hint="eastAsia" w:ascii="仿宋_GB2312" w:eastAsia="仿宋_GB2312"/>
          <w:sz w:val="32"/>
          <w:szCs w:val="32"/>
          <w:lang w:eastAsia="zh-CN"/>
        </w:rPr>
        <w:t>及职业病放射诊疗设备购置</w:t>
      </w:r>
      <w:r>
        <w:rPr>
          <w:rFonts w:hint="eastAsia" w:ascii="仿宋_GB2312" w:eastAsia="仿宋_GB2312"/>
          <w:sz w:val="32"/>
          <w:szCs w:val="32"/>
        </w:rPr>
        <w:t>。授予中小企业合同金</w:t>
      </w:r>
      <w:r>
        <w:rPr>
          <w:rFonts w:hint="eastAsia" w:ascii="仿宋_GB2312" w:eastAsia="仿宋_GB2312"/>
          <w:b w:val="0"/>
          <w:bCs w:val="0"/>
          <w:sz w:val="32"/>
          <w:szCs w:val="32"/>
        </w:rPr>
        <w:t>额</w:t>
      </w:r>
      <w:r>
        <w:rPr>
          <w:rFonts w:ascii="仿宋" w:hAnsi="仿宋" w:eastAsia="仿宋"/>
          <w:b w:val="0"/>
          <w:bCs w:val="0"/>
          <w:sz w:val="32"/>
          <w:szCs w:val="32"/>
        </w:rPr>
        <w:t>672.36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ascii="仿宋" w:hAnsi="仿宋" w:eastAsia="仿宋"/>
          <w:b w:val="0"/>
          <w:bCs/>
          <w:sz w:val="32"/>
          <w:szCs w:val="32"/>
        </w:rPr>
        <w:t>672.36</w:t>
      </w:r>
      <w:r>
        <w:rPr>
          <w:rFonts w:hint="eastAsia" w:ascii="仿宋_GB2312" w:eastAsia="仿宋_GB2312"/>
          <w:sz w:val="32"/>
          <w:szCs w:val="32"/>
        </w:rPr>
        <w:t>万元，占政府采购支出总额的</w:t>
      </w:r>
      <w:r>
        <w:rPr>
          <w:rFonts w:ascii="仿宋_GB2312" w:eastAsia="仿宋_GB2312"/>
          <w:b w:val="0"/>
          <w:bCs/>
          <w:sz w:val="32"/>
          <w:szCs w:val="32"/>
        </w:rPr>
        <w:t>100%</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val="0"/>
          <w:bCs/>
          <w:sz w:val="32"/>
          <w:szCs w:val="32"/>
        </w:rPr>
        <w:t>广安市疾病预防控制中心</w:t>
      </w:r>
      <w:r>
        <w:rPr>
          <w:rFonts w:hint="eastAsia" w:ascii="仿宋_GB2312" w:eastAsia="仿宋_GB2312"/>
          <w:sz w:val="32"/>
          <w:szCs w:val="32"/>
        </w:rPr>
        <w:t>共有车辆</w:t>
      </w:r>
      <w:r>
        <w:rPr>
          <w:rFonts w:hint="eastAsia" w:ascii="仿宋_GB2312" w:eastAsia="仿宋_GB2312"/>
          <w:b w:val="0"/>
          <w:bCs/>
          <w:sz w:val="32"/>
          <w:szCs w:val="32"/>
        </w:rPr>
        <w:t>5</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辆、特种专业技术用车4辆、</w:t>
      </w:r>
      <w:r>
        <w:rPr>
          <w:rFonts w:hint="eastAsia" w:ascii="仿宋_GB2312" w:eastAsia="仿宋_GB2312"/>
          <w:sz w:val="32"/>
          <w:szCs w:val="32"/>
          <w:highlight w:val="none"/>
        </w:rPr>
        <w:t>一般公务用车1辆，一般公务用车</w:t>
      </w:r>
      <w:r>
        <w:rPr>
          <w:rFonts w:hint="eastAsia" w:ascii="仿宋_GB2312" w:eastAsia="仿宋_GB2312"/>
          <w:sz w:val="32"/>
          <w:szCs w:val="32"/>
        </w:rPr>
        <w:t>主要是用于开展监测项目采样及疾病防控项目工作督导。单价</w:t>
      </w:r>
      <w:r>
        <w:rPr>
          <w:rFonts w:ascii="仿宋_GB2312" w:eastAsia="仿宋_GB2312"/>
          <w:sz w:val="32"/>
          <w:szCs w:val="32"/>
        </w:rPr>
        <w:t>100</w:t>
      </w:r>
      <w:r>
        <w:rPr>
          <w:rFonts w:hint="eastAsia" w:ascii="仿宋_GB2312" w:eastAsia="仿宋_GB2312"/>
          <w:sz w:val="32"/>
          <w:szCs w:val="32"/>
        </w:rPr>
        <w:t>万元以上设备（不含车辆）</w:t>
      </w:r>
      <w:r>
        <w:rPr>
          <w:rFonts w:hint="eastAsia" w:ascii="仿宋_GB2312" w:eastAsia="仿宋_GB2312"/>
          <w:b w:val="0"/>
          <w:bCs/>
          <w:sz w:val="32"/>
          <w:szCs w:val="32"/>
          <w:lang w:val="en-US" w:eastAsia="zh-CN"/>
        </w:rPr>
        <w:t>8</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根据预算绩效管理要求，本单位在2023年度预算编制阶段，组织对艾滋病防治项目</w:t>
      </w:r>
      <w:r>
        <w:rPr>
          <w:rFonts w:hint="eastAsia" w:ascii="仿宋_GB2312" w:eastAsia="仿宋_GB2312"/>
          <w:sz w:val="32"/>
          <w:szCs w:val="32"/>
          <w:lang w:eastAsia="zh-CN"/>
        </w:rPr>
        <w:t>、结核病防治、健康危害因素监测</w:t>
      </w:r>
      <w:r>
        <w:rPr>
          <w:rFonts w:hint="eastAsia" w:ascii="仿宋_GB2312" w:eastAsia="仿宋_GB2312"/>
          <w:sz w:val="32"/>
          <w:szCs w:val="32"/>
        </w:rPr>
        <w:t>等</w:t>
      </w:r>
      <w:r>
        <w:rPr>
          <w:rFonts w:hint="eastAsia" w:ascii="仿宋_GB2312" w:eastAsia="仿宋_GB2312"/>
          <w:sz w:val="32"/>
          <w:szCs w:val="32"/>
          <w:lang w:val="en-US" w:eastAsia="zh-CN"/>
        </w:rPr>
        <w:t>17</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17</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17</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17</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29"/>
          <w:rFonts w:hint="eastAsia" w:ascii="黑体" w:hAnsi="黑体" w:eastAsia="黑体"/>
          <w:b w:val="0"/>
        </w:rPr>
        <w:t>词解释</w:t>
      </w:r>
      <w:bookmarkEnd w:id="51"/>
      <w:bookmarkEnd w:id="52"/>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一般公共服务支出（类）组织事务（款）其他组织事务支出（项）</w:t>
      </w:r>
      <w:r>
        <w:rPr>
          <w:rFonts w:hint="eastAsia" w:ascii="仿宋_GB2312" w:eastAsia="仿宋_GB2312"/>
          <w:sz w:val="32"/>
          <w:szCs w:val="32"/>
          <w:lang w:eastAsia="zh-CN"/>
        </w:rPr>
        <w:t>：指其他用于中国共产党组织部门事务支出。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.社会保障和就业支出（类）行政事业单位养老支出（款）机关事业单位基本养老保险缴费支出（项）：指本级疾控机构缴纳的基本养老保险支出。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.社会保障和就业（类）社会福利（款）其他社会福利支出（项）:指退休人员一次性补助。</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.卫生健康支出（类）卫生健康管理事务（款）其他卫生健康管理事务支出（项）:</w:t>
      </w:r>
      <w:r>
        <w:rPr>
          <w:rFonts w:hint="eastAsia" w:ascii="仿宋_GB2312" w:eastAsia="仿宋_GB2312"/>
          <w:sz w:val="32"/>
          <w:szCs w:val="32"/>
          <w:lang w:eastAsia="zh-CN"/>
        </w:rPr>
        <w:t>指除卫生健康、中医、疾病预防</w:t>
      </w:r>
      <w:r>
        <w:rPr>
          <w:rFonts w:hint="eastAsia" w:ascii="仿宋_GB2312" w:eastAsia="仿宋_GB2312"/>
          <w:sz w:val="32"/>
          <w:szCs w:val="32"/>
          <w:highlight w:val="none"/>
          <w:lang w:eastAsia="zh-CN"/>
        </w:rPr>
        <w:t>控制等项目以外，其他用于卫生健康管理事务方面的支出。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.卫生健康支出（类）公共卫生（款）疾病预防控制机构（项）:指用于保障疾控中心的正常运转，开展的日常工作支出。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.卫生健康支出（类）公共卫生（款）重大公共卫生专项（项）：指用于艾滋病、流感、新冠等重大疾病预防控制等重大公共卫生服务项目支出。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.卫生健康支出（类）公共卫生（款）基本公共卫生服务（项）：指用于地方病、</w:t>
      </w:r>
      <w:r>
        <w:rPr>
          <w:rFonts w:hint="eastAsia" w:ascii="仿宋_GB2312" w:eastAsia="仿宋_GB2312"/>
          <w:sz w:val="32"/>
          <w:szCs w:val="32"/>
          <w:lang w:eastAsia="zh-CN"/>
        </w:rPr>
        <w:t>职业病</w:t>
      </w:r>
      <w:r>
        <w:rPr>
          <w:rFonts w:hint="eastAsia" w:ascii="仿宋_GB2312" w:eastAsia="仿宋_GB2312"/>
          <w:sz w:val="32"/>
          <w:szCs w:val="32"/>
        </w:rPr>
        <w:t>等疾病项目防治的支出。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.卫生健康支出（类）公共卫生（款）其他公共卫生支出（项）:指未单独设置项目其他用于公共卫生方面的支出。 </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.卫生健康支出（类）行政事业单位医疗（款）事业单位医疗（项）：指本级疾控机构用于职工事业单位医疗保险方面的支出。</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.卫生健康支出（类）行政事业单位医疗（款）公务员医疗补助（项）：指本级疾控机构用于职工事业单位医疗保险方面的支出。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9"/>
          <w:rFonts w:ascii="黑体" w:hAnsi="黑体" w:eastAsia="黑体"/>
          <w:b w:val="0"/>
        </w:rPr>
      </w:pPr>
      <w:bookmarkStart w:id="53" w:name="_Toc15377226"/>
      <w:r>
        <w:rPr>
          <w:rFonts w:ascii="宋体"/>
          <w:b/>
          <w:sz w:val="44"/>
          <w:szCs w:val="44"/>
        </w:rPr>
        <w:br w:type="page"/>
      </w:r>
      <w:bookmarkStart w:id="54" w:name="_Toc15396614"/>
      <w:r>
        <w:rPr>
          <w:rFonts w:hint="eastAsia" w:ascii="黑体" w:hAnsi="黑体" w:eastAsia="黑体"/>
          <w:sz w:val="44"/>
          <w:szCs w:val="44"/>
        </w:rPr>
        <w:t>第</w:t>
      </w:r>
      <w:r>
        <w:rPr>
          <w:rStyle w:val="29"/>
          <w:rFonts w:hint="eastAsia" w:ascii="黑体" w:hAnsi="黑体" w:eastAsia="黑体"/>
          <w:b w:val="0"/>
        </w:rPr>
        <w:t>四部分 附件</w:t>
      </w:r>
      <w:bookmarkEnd w:id="54"/>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5" w:name="_Toc15396618"/>
      <w:r>
        <w:rPr>
          <w:rFonts w:hint="eastAsia"/>
          <w:sz w:val="32"/>
          <w:szCs w:val="32"/>
        </w:rPr>
        <w:t>部门预算项目支出绩效自评表（2023年度）</w:t>
      </w:r>
    </w:p>
    <w:p>
      <w:pPr>
        <w:pStyle w:val="15"/>
        <w:spacing w:line="560" w:lineRule="exact"/>
        <w:ind w:left="0" w:leftChars="0" w:firstLine="640"/>
        <w:rPr>
          <w:sz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9"/>
          <w:rFonts w:hint="eastAsia" w:ascii="黑体" w:hAnsi="黑体" w:eastAsia="黑体"/>
          <w:b w:val="0"/>
        </w:rPr>
        <w:t>五部分 附表</w:t>
      </w:r>
      <w:bookmarkEnd w:id="53"/>
      <w:bookmarkEnd w:id="55"/>
      <w:bookmarkStart w:id="56" w:name="_Toc15396619"/>
    </w:p>
    <w:p>
      <w:pPr>
        <w:pStyle w:val="4"/>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6"/>
    </w:p>
    <w:p>
      <w:pPr>
        <w:pStyle w:val="4"/>
        <w:rPr>
          <w:rFonts w:ascii="仿宋" w:hAnsi="仿宋" w:eastAsia="仿宋"/>
        </w:rPr>
      </w:pPr>
      <w:bookmarkStart w:id="57" w:name="_Toc15396620"/>
      <w:r>
        <w:rPr>
          <w:rFonts w:hint="eastAsia" w:ascii="仿宋" w:hAnsi="仿宋" w:eastAsia="仿宋"/>
          <w:b w:val="0"/>
        </w:rPr>
        <w:t>二、收</w:t>
      </w:r>
      <w:r>
        <w:rPr>
          <w:rStyle w:val="30"/>
          <w:rFonts w:hint="eastAsia" w:ascii="仿宋" w:hAnsi="仿宋" w:eastAsia="仿宋"/>
          <w:b w:val="0"/>
          <w:bCs w:val="0"/>
        </w:rPr>
        <w:t>入决算表</w:t>
      </w:r>
      <w:bookmarkEnd w:id="57"/>
    </w:p>
    <w:p>
      <w:pPr>
        <w:pStyle w:val="4"/>
        <w:rPr>
          <w:rFonts w:ascii="仿宋" w:hAnsi="仿宋" w:eastAsia="仿宋"/>
        </w:rPr>
      </w:pPr>
      <w:bookmarkStart w:id="58"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8"/>
    </w:p>
    <w:p>
      <w:pPr>
        <w:pStyle w:val="4"/>
        <w:rPr>
          <w:rFonts w:ascii="仿宋" w:hAnsi="仿宋" w:eastAsia="仿宋"/>
          <w:b w:val="0"/>
        </w:rPr>
      </w:pPr>
      <w:bookmarkStart w:id="59"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9"/>
    </w:p>
    <w:p>
      <w:pPr>
        <w:pStyle w:val="4"/>
        <w:rPr>
          <w:rStyle w:val="30"/>
          <w:rFonts w:ascii="仿宋" w:hAnsi="仿宋" w:eastAsia="仿宋"/>
          <w:b w:val="0"/>
          <w:bCs w:val="0"/>
        </w:rPr>
      </w:pPr>
      <w:bookmarkStart w:id="60"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0"/>
      <w:bookmarkStart w:id="61" w:name="_Toc15396624"/>
    </w:p>
    <w:p>
      <w:pPr>
        <w:pStyle w:val="4"/>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1"/>
    </w:p>
    <w:p>
      <w:pPr>
        <w:pStyle w:val="4"/>
        <w:rPr>
          <w:rFonts w:ascii="仿宋" w:hAnsi="仿宋" w:eastAsia="仿宋"/>
        </w:rPr>
      </w:pPr>
      <w:bookmarkStart w:id="62"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2"/>
    </w:p>
    <w:p>
      <w:pPr>
        <w:pStyle w:val="4"/>
        <w:rPr>
          <w:rFonts w:ascii="仿宋" w:hAnsi="仿宋" w:eastAsia="仿宋"/>
        </w:rPr>
      </w:pPr>
      <w:bookmarkStart w:id="63"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3"/>
    </w:p>
    <w:p>
      <w:pPr>
        <w:pStyle w:val="4"/>
        <w:rPr>
          <w:rFonts w:ascii="仿宋" w:hAnsi="仿宋" w:eastAsia="仿宋"/>
        </w:rPr>
      </w:pPr>
      <w:bookmarkStart w:id="64"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4"/>
    </w:p>
    <w:p>
      <w:pPr>
        <w:pStyle w:val="4"/>
        <w:rPr>
          <w:rFonts w:ascii="仿宋" w:hAnsi="仿宋" w:eastAsia="仿宋"/>
        </w:rPr>
      </w:pPr>
      <w:bookmarkStart w:id="65" w:name="_Toc15396628"/>
      <w:r>
        <w:rPr>
          <w:rStyle w:val="30"/>
          <w:rFonts w:hint="eastAsia" w:ascii="仿宋" w:hAnsi="仿宋" w:eastAsia="仿宋"/>
          <w:b w:val="0"/>
          <w:bCs w:val="0"/>
        </w:rPr>
        <w:t>十、</w:t>
      </w:r>
      <w:bookmarkEnd w:id="65"/>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4"/>
        <w:rPr>
          <w:rFonts w:ascii="仿宋" w:hAnsi="仿宋" w:eastAsia="仿宋"/>
        </w:rPr>
      </w:pPr>
      <w:bookmarkStart w:id="66" w:name="_Toc15396629"/>
      <w:r>
        <w:rPr>
          <w:rStyle w:val="30"/>
          <w:rFonts w:hint="eastAsia" w:ascii="仿宋" w:hAnsi="仿宋" w:eastAsia="仿宋"/>
          <w:b w:val="0"/>
          <w:bCs w:val="0"/>
        </w:rPr>
        <w:t>十一、</w:t>
      </w:r>
      <w:bookmarkEnd w:id="66"/>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4"/>
        <w:rPr>
          <w:rFonts w:ascii="仿宋" w:hAnsi="仿宋" w:eastAsia="仿宋"/>
        </w:rPr>
      </w:pPr>
      <w:bookmarkStart w:id="67" w:name="_Toc15396630"/>
      <w:r>
        <w:rPr>
          <w:rStyle w:val="30"/>
          <w:rFonts w:hint="eastAsia" w:ascii="仿宋" w:hAnsi="仿宋" w:eastAsia="仿宋"/>
          <w:b w:val="0"/>
          <w:bCs w:val="0"/>
        </w:rPr>
        <w:t>十二、</w:t>
      </w:r>
      <w:bookmarkEnd w:id="67"/>
      <w:r>
        <w:rPr>
          <w:rStyle w:val="30"/>
          <w:rFonts w:hint="eastAsia" w:ascii="仿宋" w:hAnsi="仿宋" w:eastAsia="仿宋"/>
          <w:b w:val="0"/>
          <w:bCs w:val="0"/>
        </w:rPr>
        <w:t>国有资本经营预算财政拨款支出决算表</w:t>
      </w:r>
    </w:p>
    <w:p>
      <w:pPr>
        <w:pStyle w:val="4"/>
        <w:rPr>
          <w:rFonts w:eastAsia="仿宋"/>
        </w:rPr>
      </w:pPr>
      <w:bookmarkStart w:id="68" w:name="_Toc15396631"/>
      <w:r>
        <w:rPr>
          <w:rStyle w:val="30"/>
          <w:rFonts w:hint="eastAsia" w:ascii="仿宋" w:hAnsi="仿宋" w:eastAsia="仿宋"/>
          <w:b w:val="0"/>
          <w:bCs w:val="0"/>
        </w:rPr>
        <w:t>十三、</w:t>
      </w:r>
      <w:bookmarkEnd w:id="68"/>
      <w:r>
        <w:rPr>
          <w:rStyle w:val="30"/>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M2RmM2M4NDBiZmU3NTFkYWQ3ZDhhN2EwZGExNT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7E359F"/>
    <w:rsid w:val="0B8A37D8"/>
    <w:rsid w:val="0DDD3EB1"/>
    <w:rsid w:val="0F1D9DC6"/>
    <w:rsid w:val="0F5FFB2F"/>
    <w:rsid w:val="0FFFCF60"/>
    <w:rsid w:val="10C055FF"/>
    <w:rsid w:val="118107EC"/>
    <w:rsid w:val="11DD6519"/>
    <w:rsid w:val="15FDC962"/>
    <w:rsid w:val="16BB723D"/>
    <w:rsid w:val="18015F3F"/>
    <w:rsid w:val="1B7F33FB"/>
    <w:rsid w:val="1BE8440E"/>
    <w:rsid w:val="1C5E13EB"/>
    <w:rsid w:val="1D155CEE"/>
    <w:rsid w:val="1DEFCD50"/>
    <w:rsid w:val="1FDBBF84"/>
    <w:rsid w:val="1FFCA10A"/>
    <w:rsid w:val="20F57F95"/>
    <w:rsid w:val="240371BF"/>
    <w:rsid w:val="25711CC6"/>
    <w:rsid w:val="25C741E6"/>
    <w:rsid w:val="276F80C0"/>
    <w:rsid w:val="27842671"/>
    <w:rsid w:val="29FD04D3"/>
    <w:rsid w:val="2ABE7A3E"/>
    <w:rsid w:val="2AFF09B6"/>
    <w:rsid w:val="2CA234A8"/>
    <w:rsid w:val="2CFFE827"/>
    <w:rsid w:val="2E6B740C"/>
    <w:rsid w:val="2EFA178C"/>
    <w:rsid w:val="2EFDF86C"/>
    <w:rsid w:val="2F9D17E1"/>
    <w:rsid w:val="2FCD21F3"/>
    <w:rsid w:val="2FE9B7B0"/>
    <w:rsid w:val="30B46D73"/>
    <w:rsid w:val="319F7F4E"/>
    <w:rsid w:val="33FF1849"/>
    <w:rsid w:val="347B3559"/>
    <w:rsid w:val="34FF3E36"/>
    <w:rsid w:val="356A28F1"/>
    <w:rsid w:val="357C035A"/>
    <w:rsid w:val="368E000D"/>
    <w:rsid w:val="37FBB425"/>
    <w:rsid w:val="383D272C"/>
    <w:rsid w:val="39AE70AB"/>
    <w:rsid w:val="3A4DCE41"/>
    <w:rsid w:val="3BCB56FA"/>
    <w:rsid w:val="3C0C0783"/>
    <w:rsid w:val="3C7D075D"/>
    <w:rsid w:val="3CFA24A9"/>
    <w:rsid w:val="3CFB011B"/>
    <w:rsid w:val="3DFB2DFE"/>
    <w:rsid w:val="3EE7C2F4"/>
    <w:rsid w:val="3F1C857B"/>
    <w:rsid w:val="3F371B56"/>
    <w:rsid w:val="3F6B5E93"/>
    <w:rsid w:val="3F73A79A"/>
    <w:rsid w:val="3F792ED8"/>
    <w:rsid w:val="3F9F3A96"/>
    <w:rsid w:val="3FBBF463"/>
    <w:rsid w:val="3FECA4B2"/>
    <w:rsid w:val="3FF58C48"/>
    <w:rsid w:val="3FFBDF43"/>
    <w:rsid w:val="3FFF940E"/>
    <w:rsid w:val="41F8EB86"/>
    <w:rsid w:val="42FF6694"/>
    <w:rsid w:val="44E31B3F"/>
    <w:rsid w:val="478839E2"/>
    <w:rsid w:val="48BF60AB"/>
    <w:rsid w:val="493C27E9"/>
    <w:rsid w:val="496F39ED"/>
    <w:rsid w:val="49FF41D3"/>
    <w:rsid w:val="4BE068DB"/>
    <w:rsid w:val="4BF6002B"/>
    <w:rsid w:val="4BFFC6BE"/>
    <w:rsid w:val="4DDF21EA"/>
    <w:rsid w:val="4ECE2238"/>
    <w:rsid w:val="4F5D4ACF"/>
    <w:rsid w:val="4FFF1C76"/>
    <w:rsid w:val="4FFFFB2E"/>
    <w:rsid w:val="51DB4B86"/>
    <w:rsid w:val="51F64DB0"/>
    <w:rsid w:val="53DD9CD1"/>
    <w:rsid w:val="55333C3E"/>
    <w:rsid w:val="56BBE59E"/>
    <w:rsid w:val="57AF33D9"/>
    <w:rsid w:val="57B763BB"/>
    <w:rsid w:val="57BBE9AF"/>
    <w:rsid w:val="586F1005"/>
    <w:rsid w:val="5979C0F3"/>
    <w:rsid w:val="5ADFBDB1"/>
    <w:rsid w:val="5B669966"/>
    <w:rsid w:val="5DFDD6E6"/>
    <w:rsid w:val="5DFF45D4"/>
    <w:rsid w:val="5E79E836"/>
    <w:rsid w:val="5EFF0939"/>
    <w:rsid w:val="5F3FE9F2"/>
    <w:rsid w:val="5F67802D"/>
    <w:rsid w:val="5F7DC4F2"/>
    <w:rsid w:val="5FB36814"/>
    <w:rsid w:val="5FB5E238"/>
    <w:rsid w:val="5FBB8E56"/>
    <w:rsid w:val="5FDC8900"/>
    <w:rsid w:val="5FF358AF"/>
    <w:rsid w:val="5FFB5535"/>
    <w:rsid w:val="5FFB7D7D"/>
    <w:rsid w:val="63EFC0F3"/>
    <w:rsid w:val="64CA39A1"/>
    <w:rsid w:val="65FB5673"/>
    <w:rsid w:val="677F0A29"/>
    <w:rsid w:val="67FB0D8A"/>
    <w:rsid w:val="67FE36EB"/>
    <w:rsid w:val="69630ADE"/>
    <w:rsid w:val="69BD5F13"/>
    <w:rsid w:val="69FB0B4B"/>
    <w:rsid w:val="69FB2042"/>
    <w:rsid w:val="6ADBD7B7"/>
    <w:rsid w:val="6AFB0D73"/>
    <w:rsid w:val="6BFFE1FB"/>
    <w:rsid w:val="6C4A05C8"/>
    <w:rsid w:val="6CF9F449"/>
    <w:rsid w:val="6D3B1A89"/>
    <w:rsid w:val="6DB7D8A3"/>
    <w:rsid w:val="6DBFC6F6"/>
    <w:rsid w:val="6E17381E"/>
    <w:rsid w:val="6E7605ED"/>
    <w:rsid w:val="6EAF1440"/>
    <w:rsid w:val="6EC78701"/>
    <w:rsid w:val="6EF15CDD"/>
    <w:rsid w:val="6F7A5481"/>
    <w:rsid w:val="6FD42280"/>
    <w:rsid w:val="6FEE412A"/>
    <w:rsid w:val="6FFE07A9"/>
    <w:rsid w:val="6FFF08A5"/>
    <w:rsid w:val="6FFF7E4A"/>
    <w:rsid w:val="6FFF8158"/>
    <w:rsid w:val="716507FE"/>
    <w:rsid w:val="71BF4EC2"/>
    <w:rsid w:val="72734D90"/>
    <w:rsid w:val="7375A1B3"/>
    <w:rsid w:val="73E75B71"/>
    <w:rsid w:val="7412278C"/>
    <w:rsid w:val="75DDCDA9"/>
    <w:rsid w:val="75FB04F2"/>
    <w:rsid w:val="75FF44B1"/>
    <w:rsid w:val="766B65D3"/>
    <w:rsid w:val="77397ABA"/>
    <w:rsid w:val="77670518"/>
    <w:rsid w:val="777B323F"/>
    <w:rsid w:val="777FA627"/>
    <w:rsid w:val="77B5DF1C"/>
    <w:rsid w:val="77BE6C13"/>
    <w:rsid w:val="77DCFFE6"/>
    <w:rsid w:val="77DF1B5F"/>
    <w:rsid w:val="77EF229D"/>
    <w:rsid w:val="77EF2D9D"/>
    <w:rsid w:val="77FBBB50"/>
    <w:rsid w:val="77FEA5E8"/>
    <w:rsid w:val="79E7B28D"/>
    <w:rsid w:val="79FF2EA4"/>
    <w:rsid w:val="7A6F88E1"/>
    <w:rsid w:val="7AC38C22"/>
    <w:rsid w:val="7ACFF0C2"/>
    <w:rsid w:val="7AFB9108"/>
    <w:rsid w:val="7B7DD1C9"/>
    <w:rsid w:val="7B7FA53C"/>
    <w:rsid w:val="7B992C15"/>
    <w:rsid w:val="7BD5340C"/>
    <w:rsid w:val="7BEE11E9"/>
    <w:rsid w:val="7BEE302B"/>
    <w:rsid w:val="7BF3F07E"/>
    <w:rsid w:val="7BF70431"/>
    <w:rsid w:val="7BFB19D2"/>
    <w:rsid w:val="7BFBAC9B"/>
    <w:rsid w:val="7BFD1750"/>
    <w:rsid w:val="7BFDAA1B"/>
    <w:rsid w:val="7BFF35D9"/>
    <w:rsid w:val="7BFFEDE2"/>
    <w:rsid w:val="7CAFFDDD"/>
    <w:rsid w:val="7CDF9A82"/>
    <w:rsid w:val="7CFE2173"/>
    <w:rsid w:val="7CFFA1BD"/>
    <w:rsid w:val="7D2E3F7A"/>
    <w:rsid w:val="7D6D7EE3"/>
    <w:rsid w:val="7D759DC2"/>
    <w:rsid w:val="7DDB0702"/>
    <w:rsid w:val="7DED9490"/>
    <w:rsid w:val="7DFB42A7"/>
    <w:rsid w:val="7DFF4872"/>
    <w:rsid w:val="7DFFF120"/>
    <w:rsid w:val="7E3BFC77"/>
    <w:rsid w:val="7E472628"/>
    <w:rsid w:val="7E7487E6"/>
    <w:rsid w:val="7E7C2A54"/>
    <w:rsid w:val="7EBF66A3"/>
    <w:rsid w:val="7EEEFD72"/>
    <w:rsid w:val="7EF9BB5C"/>
    <w:rsid w:val="7EFEDCC8"/>
    <w:rsid w:val="7EFF00BC"/>
    <w:rsid w:val="7EFF0415"/>
    <w:rsid w:val="7F1D517C"/>
    <w:rsid w:val="7F372E23"/>
    <w:rsid w:val="7F5DA057"/>
    <w:rsid w:val="7F6AEB4D"/>
    <w:rsid w:val="7F6C2237"/>
    <w:rsid w:val="7F7E6F90"/>
    <w:rsid w:val="7F7F319B"/>
    <w:rsid w:val="7F9F20EE"/>
    <w:rsid w:val="7FBBE890"/>
    <w:rsid w:val="7FBC2ABD"/>
    <w:rsid w:val="7FBF5D48"/>
    <w:rsid w:val="7FC71790"/>
    <w:rsid w:val="7FCCFC01"/>
    <w:rsid w:val="7FDD1748"/>
    <w:rsid w:val="7FE769C6"/>
    <w:rsid w:val="7FEB667A"/>
    <w:rsid w:val="7FED0DF6"/>
    <w:rsid w:val="7FF71FD8"/>
    <w:rsid w:val="7FFA45EE"/>
    <w:rsid w:val="7FFCA940"/>
    <w:rsid w:val="7FFD083E"/>
    <w:rsid w:val="7FFD322A"/>
    <w:rsid w:val="7FFE9FEE"/>
    <w:rsid w:val="7FFF21B2"/>
    <w:rsid w:val="7FFF9372"/>
    <w:rsid w:val="83DFEFD6"/>
    <w:rsid w:val="84BF1F3B"/>
    <w:rsid w:val="8F55B106"/>
    <w:rsid w:val="8F757291"/>
    <w:rsid w:val="95DF317D"/>
    <w:rsid w:val="97E77C70"/>
    <w:rsid w:val="9BF86CE4"/>
    <w:rsid w:val="9C7FECD5"/>
    <w:rsid w:val="9DCBAB54"/>
    <w:rsid w:val="9DFF2B26"/>
    <w:rsid w:val="9E360A7C"/>
    <w:rsid w:val="9E3A10E2"/>
    <w:rsid w:val="9F37155B"/>
    <w:rsid w:val="9FB91FBD"/>
    <w:rsid w:val="9FD54998"/>
    <w:rsid w:val="9FD5C1D2"/>
    <w:rsid w:val="A671883B"/>
    <w:rsid w:val="A7EFD17F"/>
    <w:rsid w:val="A7FFE43F"/>
    <w:rsid w:val="ABFB5ABB"/>
    <w:rsid w:val="AFB78157"/>
    <w:rsid w:val="B35708B8"/>
    <w:rsid w:val="B35FAEE7"/>
    <w:rsid w:val="B365C472"/>
    <w:rsid w:val="B6D749A8"/>
    <w:rsid w:val="B7BBDC2C"/>
    <w:rsid w:val="B7FB6169"/>
    <w:rsid w:val="B97F84A2"/>
    <w:rsid w:val="B9BFEDC7"/>
    <w:rsid w:val="BABF2DF3"/>
    <w:rsid w:val="BB4F6F1E"/>
    <w:rsid w:val="BBDF6589"/>
    <w:rsid w:val="BBFAB00A"/>
    <w:rsid w:val="BD5BA7CE"/>
    <w:rsid w:val="BDFEA317"/>
    <w:rsid w:val="BDFED747"/>
    <w:rsid w:val="BFBF422D"/>
    <w:rsid w:val="BFF52331"/>
    <w:rsid w:val="BFFB753A"/>
    <w:rsid w:val="C56784B6"/>
    <w:rsid w:val="C7F3D590"/>
    <w:rsid w:val="CBFF9C55"/>
    <w:rsid w:val="CD9BBABB"/>
    <w:rsid w:val="CEFFB0DE"/>
    <w:rsid w:val="CF99F292"/>
    <w:rsid w:val="CFDF5BB1"/>
    <w:rsid w:val="D54F447E"/>
    <w:rsid w:val="D5BF9717"/>
    <w:rsid w:val="D5DA60B3"/>
    <w:rsid w:val="D7B7E72E"/>
    <w:rsid w:val="D7C6F579"/>
    <w:rsid w:val="D7EBF309"/>
    <w:rsid w:val="D8923217"/>
    <w:rsid w:val="D8FECA92"/>
    <w:rsid w:val="DAFFBE66"/>
    <w:rsid w:val="DBB33B96"/>
    <w:rsid w:val="DBBEDE78"/>
    <w:rsid w:val="DD2C0BFE"/>
    <w:rsid w:val="DE3F332B"/>
    <w:rsid w:val="DE6F4A3D"/>
    <w:rsid w:val="DEB9A6F1"/>
    <w:rsid w:val="DF69F8B0"/>
    <w:rsid w:val="DF7F1176"/>
    <w:rsid w:val="DFB7AD33"/>
    <w:rsid w:val="DFB7C36B"/>
    <w:rsid w:val="DFC71555"/>
    <w:rsid w:val="DFDF82E6"/>
    <w:rsid w:val="DFE7C213"/>
    <w:rsid w:val="DFFC559C"/>
    <w:rsid w:val="DFFE1517"/>
    <w:rsid w:val="DFFEDFAE"/>
    <w:rsid w:val="DFFFB5EB"/>
    <w:rsid w:val="E1BFA4DE"/>
    <w:rsid w:val="E4B33E57"/>
    <w:rsid w:val="E5BF946A"/>
    <w:rsid w:val="E67B9994"/>
    <w:rsid w:val="E78CDE74"/>
    <w:rsid w:val="E7BFFE7F"/>
    <w:rsid w:val="E7DBBD0B"/>
    <w:rsid w:val="E7F6F823"/>
    <w:rsid w:val="E97F3AC4"/>
    <w:rsid w:val="E9FEE487"/>
    <w:rsid w:val="EB39BD45"/>
    <w:rsid w:val="EBCF1FC2"/>
    <w:rsid w:val="EBD18F66"/>
    <w:rsid w:val="EBFB20F6"/>
    <w:rsid w:val="EC67372A"/>
    <w:rsid w:val="ED17392C"/>
    <w:rsid w:val="ED9FFD9A"/>
    <w:rsid w:val="EDB7968B"/>
    <w:rsid w:val="EE7E110F"/>
    <w:rsid w:val="EEF73F60"/>
    <w:rsid w:val="EEFCB239"/>
    <w:rsid w:val="EF7F913B"/>
    <w:rsid w:val="EFAFE5E5"/>
    <w:rsid w:val="EFCED9EC"/>
    <w:rsid w:val="EFED9E42"/>
    <w:rsid w:val="EFF63208"/>
    <w:rsid w:val="EFFFB194"/>
    <w:rsid w:val="F2E1F9D4"/>
    <w:rsid w:val="F33E5147"/>
    <w:rsid w:val="F374F519"/>
    <w:rsid w:val="F4E7FC45"/>
    <w:rsid w:val="F4FF5B01"/>
    <w:rsid w:val="F5DFFC39"/>
    <w:rsid w:val="F5FF7449"/>
    <w:rsid w:val="F6C7B523"/>
    <w:rsid w:val="F6D69ECD"/>
    <w:rsid w:val="F73E1CAD"/>
    <w:rsid w:val="F7880819"/>
    <w:rsid w:val="F7AF180D"/>
    <w:rsid w:val="F7BDBFA7"/>
    <w:rsid w:val="F7F55F78"/>
    <w:rsid w:val="F7FAD68F"/>
    <w:rsid w:val="F7FB14CF"/>
    <w:rsid w:val="F9D5AA0E"/>
    <w:rsid w:val="FAB76FEC"/>
    <w:rsid w:val="FADF2B79"/>
    <w:rsid w:val="FB3FBC45"/>
    <w:rsid w:val="FB3FC69C"/>
    <w:rsid w:val="FBC8DB35"/>
    <w:rsid w:val="FBDCC818"/>
    <w:rsid w:val="FBDFF225"/>
    <w:rsid w:val="FBE64E28"/>
    <w:rsid w:val="FBF7AB63"/>
    <w:rsid w:val="FBFF2CD3"/>
    <w:rsid w:val="FC2F3373"/>
    <w:rsid w:val="FC4F0663"/>
    <w:rsid w:val="FC5E6441"/>
    <w:rsid w:val="FCA489B3"/>
    <w:rsid w:val="FCBE433A"/>
    <w:rsid w:val="FCBE8501"/>
    <w:rsid w:val="FCF51535"/>
    <w:rsid w:val="FCF73035"/>
    <w:rsid w:val="FCFDE439"/>
    <w:rsid w:val="FD598270"/>
    <w:rsid w:val="FD77821D"/>
    <w:rsid w:val="FD77F6B8"/>
    <w:rsid w:val="FDA9108D"/>
    <w:rsid w:val="FDCFB6B9"/>
    <w:rsid w:val="FDD69328"/>
    <w:rsid w:val="FDDFEC0E"/>
    <w:rsid w:val="FDE58BDD"/>
    <w:rsid w:val="FDEC7001"/>
    <w:rsid w:val="FDFFCC66"/>
    <w:rsid w:val="FDFFD0DA"/>
    <w:rsid w:val="FEBF5F5F"/>
    <w:rsid w:val="FEBFACEE"/>
    <w:rsid w:val="FEDFE87F"/>
    <w:rsid w:val="FEF1D25B"/>
    <w:rsid w:val="FEFEFBAB"/>
    <w:rsid w:val="FEFF1ADD"/>
    <w:rsid w:val="FF3EF90F"/>
    <w:rsid w:val="FF3F7AF0"/>
    <w:rsid w:val="FF7904D6"/>
    <w:rsid w:val="FF7BF61F"/>
    <w:rsid w:val="FF8D0FAA"/>
    <w:rsid w:val="FFAE9CCD"/>
    <w:rsid w:val="FFAF6081"/>
    <w:rsid w:val="FFBDEA41"/>
    <w:rsid w:val="FFBF9BF8"/>
    <w:rsid w:val="FFD55BF1"/>
    <w:rsid w:val="FFDF1344"/>
    <w:rsid w:val="FFECCD8C"/>
    <w:rsid w:val="FFED60BD"/>
    <w:rsid w:val="FFEE08F0"/>
    <w:rsid w:val="FFEE7F9F"/>
    <w:rsid w:val="FFEF7DCF"/>
    <w:rsid w:val="FFFA1AF5"/>
    <w:rsid w:val="FFFA49FF"/>
    <w:rsid w:val="FFFC98BF"/>
    <w:rsid w:val="FFFF3197"/>
    <w:rsid w:val="FFFF9BD5"/>
    <w:rsid w:val="FFFFED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6">
    <w:name w:val="Normal Indent"/>
    <w:basedOn w:val="1"/>
    <w:qFormat/>
    <w:uiPriority w:val="0"/>
    <w:pPr>
      <w:spacing w:line="560" w:lineRule="exact"/>
      <w:ind w:firstLine="420" w:firstLineChars="200"/>
    </w:pPr>
    <w:rPr>
      <w:rFonts w:ascii="Times New Roman" w:hAnsi="Times New Roman" w:eastAsia="仿宋" w:cs="Times New Roman"/>
      <w:sz w:val="32"/>
    </w:rPr>
  </w:style>
  <w:style w:type="paragraph" w:styleId="7">
    <w:name w:val="Body Text"/>
    <w:basedOn w:val="1"/>
    <w:link w:val="26"/>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NormalCharacter"/>
    <w:link w:val="36"/>
    <w:semiHidden/>
    <w:qFormat/>
    <w:uiPriority w:val="0"/>
    <w:rPr>
      <w:kern w:val="0"/>
      <w:szCs w:val="32"/>
    </w:rPr>
  </w:style>
  <w:style w:type="paragraph" w:customStyle="1" w:styleId="36">
    <w:name w:val="UserStyle_1"/>
    <w:basedOn w:val="1"/>
    <w:link w:val="35"/>
    <w:qFormat/>
    <w:uiPriority w:val="99"/>
    <w:pPr>
      <w:widowControl/>
      <w:spacing w:line="590" w:lineRule="exact"/>
      <w:ind w:firstLine="200" w:firstLineChars="200"/>
      <w:textAlignment w:val="baseline"/>
    </w:pPr>
    <w:rPr>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home/huawei/Desktop/&#30011;&#2227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huawei/Desktop/&#30011;&#2227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huawei/Desktop/&#30011;&#22270;&#27169;&#26495;.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huawei/Desktop/&#30011;&#22270;&#27169;&#26495;.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huawei/Desktop/&#30011;&#22270;&#27169;&#26495;.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huawei/Desktop/&#30011;&#22270;&#27169;&#26495;.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ome/huawei/Desktop/&#30011;&#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宋体" charset="-122"/>
                <a:ea typeface="宋体" charset="-122"/>
                <a:cs typeface="宋体" charset="-122"/>
                <a:sym typeface="宋体" charset="-122"/>
              </a:defRPr>
            </a:pPr>
            <a:r>
              <a:rPr sz="900" b="1">
                <a:latin typeface="宋体" charset="-122"/>
                <a:ea typeface="宋体" charset="-122"/>
                <a:cs typeface="宋体" charset="-122"/>
                <a:sym typeface="宋体" charset="-122"/>
              </a:rPr>
              <a:t>图1：收、支决算总计变动情况图</a:t>
            </a:r>
            <a:endParaRPr sz="900" b="1">
              <a:latin typeface="宋体" charset="-122"/>
              <a:ea typeface="宋体" charset="-122"/>
              <a:cs typeface="宋体" charset="-122"/>
              <a:sym typeface="宋体" charset="-122"/>
            </a:endParaRPr>
          </a:p>
        </c:rich>
      </c:tx>
      <c:layout>
        <c:manualLayout>
          <c:xMode val="edge"/>
          <c:yMode val="edge"/>
          <c:x val="0.288910632746249"/>
          <c:y val="0.0243055555555556"/>
        </c:manualLayout>
      </c:layout>
      <c:overlay val="0"/>
      <c:spPr>
        <a:noFill/>
        <a:ln>
          <a:noFill/>
        </a:ln>
        <a:effectLst/>
      </c:spPr>
    </c:title>
    <c:autoTitleDeleted val="0"/>
    <c:plotArea>
      <c:layout>
        <c:manualLayout>
          <c:layoutTarget val="inner"/>
          <c:xMode val="edge"/>
          <c:yMode val="edge"/>
          <c:x val="0.168151391606871"/>
          <c:y val="0.172916666666667"/>
          <c:w val="0.805333333333333"/>
          <c:h val="0.607268518518518"/>
        </c:manualLayout>
      </c:layout>
      <c:barChart>
        <c:barDir val="col"/>
        <c:grouping val="clustered"/>
        <c:varyColors val="0"/>
        <c:ser>
          <c:idx val="0"/>
          <c:order val="0"/>
          <c:tx>
            <c:strRef>
              <c:f>[画图模板.xlsx]Sheet2!$G$5</c:f>
              <c:strCache>
                <c:ptCount val="1"/>
                <c:pt idx="0">
                  <c:v>2023年</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[画图模板.xlsx]Sheet2!$H$4:$I$4</c:f>
              <c:strCache>
                <c:ptCount val="2"/>
                <c:pt idx="0">
                  <c:v>收入</c:v>
                </c:pt>
                <c:pt idx="1">
                  <c:v>支出</c:v>
                </c:pt>
              </c:strCache>
            </c:strRef>
          </c:cat>
          <c:val>
            <c:numRef>
              <c:f>[画图模板.xlsx]Sheet2!$H$5:$I$5</c:f>
              <c:numCache>
                <c:formatCode>General</c:formatCode>
                <c:ptCount val="2"/>
                <c:pt idx="0">
                  <c:v>3098.99</c:v>
                </c:pt>
                <c:pt idx="1">
                  <c:v>3098.99</c:v>
                </c:pt>
              </c:numCache>
            </c:numRef>
          </c:val>
        </c:ser>
        <c:ser>
          <c:idx val="1"/>
          <c:order val="1"/>
          <c:tx>
            <c:strRef>
              <c:f>[画图模板.xlsx]Sheet2!$G$6</c:f>
              <c:strCache>
                <c:ptCount val="1"/>
                <c:pt idx="0">
                  <c:v>2022年</c:v>
                </c:pt>
              </c:strCache>
            </c:strRef>
          </c:tx>
          <c:spPr>
            <a:solidFill>
              <a:schemeClr val="accent2"/>
            </a:solidFill>
            <a:ln>
              <a:noFill/>
            </a:ln>
            <a:effectLst/>
          </c:spPr>
          <c:invertIfNegative val="0"/>
          <c:dLbls>
            <c:dLbl>
              <c:idx val="0"/>
              <c:layout>
                <c:manualLayout>
                  <c:x val="0.0166666666666667"/>
                  <c:y val="0.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6666666666667"/>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[画图模板.xlsx]Sheet2!$H$4:$I$4</c:f>
              <c:strCache>
                <c:ptCount val="2"/>
                <c:pt idx="0">
                  <c:v>收入</c:v>
                </c:pt>
                <c:pt idx="1">
                  <c:v>支出</c:v>
                </c:pt>
              </c:strCache>
            </c:strRef>
          </c:cat>
          <c:val>
            <c:numRef>
              <c:f>[画图模板.xlsx]Sheet2!$H$6:$I$6</c:f>
              <c:numCache>
                <c:formatCode>General</c:formatCode>
                <c:ptCount val="2"/>
                <c:pt idx="0">
                  <c:v>2206.87</c:v>
                </c:pt>
                <c:pt idx="1">
                  <c:v>2206.87</c:v>
                </c:pt>
              </c:numCache>
            </c:numRef>
          </c:val>
        </c:ser>
        <c:dLbls>
          <c:showLegendKey val="0"/>
          <c:showVal val="1"/>
          <c:showCatName val="0"/>
          <c:showSerName val="0"/>
          <c:showPercent val="0"/>
          <c:showBubbleSize val="0"/>
        </c:dLbls>
        <c:gapWidth val="205"/>
        <c:overlap val="0"/>
        <c:axId val="695296810"/>
        <c:axId val="28759014"/>
      </c:barChart>
      <c:catAx>
        <c:axId val="695296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j-ea"/>
                <a:ea typeface="+mj-ea"/>
                <a:cs typeface="+mj-ea"/>
                <a:sym typeface="+mj-ea"/>
              </a:defRPr>
            </a:pPr>
          </a:p>
        </c:txPr>
        <c:crossAx val="28759014"/>
        <c:crosses val="autoZero"/>
        <c:auto val="1"/>
        <c:lblAlgn val="ctr"/>
        <c:lblOffset val="100"/>
        <c:noMultiLvlLbl val="0"/>
      </c:catAx>
      <c:valAx>
        <c:axId val="28759014"/>
        <c:scaling>
          <c:orientation val="minMax"/>
        </c:scaling>
        <c:delete val="0"/>
        <c:axPos val="l"/>
        <c:majorGridlines>
          <c:spPr>
            <a:ln w="9525" cap="flat" cmpd="sng" algn="ctr">
              <a:no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万元</a:t>
                </a:r>
                <a:endParaRPr b="1"/>
              </a:p>
            </c:rich>
          </c:tx>
          <c:layout>
            <c:manualLayout>
              <c:xMode val="edge"/>
              <c:yMode val="edge"/>
              <c:x val="0.0972222222222222"/>
              <c:y val="0.0155555555555555"/>
            </c:manualLayout>
          </c:layout>
          <c:overlay val="0"/>
          <c:spPr>
            <a:noFill/>
            <a:ln>
              <a:noFill/>
            </a:ln>
            <a:effectLst/>
          </c:spPr>
        </c:title>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9529681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840834964122635"/>
          <c:y val="0.16087962962963"/>
          <c:w val="0.153033268101761"/>
          <c:h val="0.158564814814815"/>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80" b="1" i="0" u="none" strike="noStrike" kern="1200" spc="0" baseline="0">
                <a:solidFill>
                  <a:schemeClr val="tx1">
                    <a:lumMod val="65000"/>
                    <a:lumOff val="35000"/>
                  </a:schemeClr>
                </a:solidFill>
                <a:latin typeface="宋体" charset="-122"/>
                <a:ea typeface="宋体" charset="-122"/>
                <a:cs typeface="宋体" charset="-122"/>
                <a:sym typeface="宋体" charset="-122"/>
              </a:defRPr>
            </a:pPr>
            <a:r>
              <a:rPr sz="1080" b="1">
                <a:latin typeface="宋体" charset="-122"/>
                <a:ea typeface="宋体" charset="-122"/>
                <a:cs typeface="宋体" charset="-122"/>
                <a:sym typeface="宋体" charset="-122"/>
              </a:rPr>
              <a:t>图2：收入决算结构图</a:t>
            </a:r>
            <a:endParaRPr sz="1080" b="1">
              <a:latin typeface="宋体" charset="-122"/>
              <a:ea typeface="宋体" charset="-122"/>
              <a:cs typeface="宋体" charset="-122"/>
              <a:sym typeface="宋体" charset="-122"/>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5"/>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tx1">
                  <a:lumMod val="95000"/>
                  <a:lumOff val="5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charset="-122"/>
                    <a:ea typeface="宋体" charset="-122"/>
                    <a:cs typeface="宋体" charset="-122"/>
                    <a:sym typeface="宋体"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[画图模板.xlsx]Sheet2!$C$32:$C$39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[画图模板.xlsx]Sheet2!$D$32:$D$39</c:f>
              <c:numCache>
                <c:formatCode>General</c:formatCode>
                <c:ptCount val="8"/>
                <c:pt idx="0">
                  <c:v>3098.99</c:v>
                </c:pt>
                <c:pt idx="1">
                  <c:v>0</c:v>
                </c:pt>
                <c:pt idx="2">
                  <c:v>0</c:v>
                </c:pt>
                <c:pt idx="3">
                  <c:v>0</c:v>
                </c:pt>
                <c:pt idx="4">
                  <c:v>0</c:v>
                </c:pt>
                <c:pt idx="5">
                  <c:v>0</c:v>
                </c:pt>
                <c:pt idx="6">
                  <c:v>0</c:v>
                </c:pt>
                <c:pt idx="7">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5"/>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6"/>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egendEntry>
        <c:idx val="7"/>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宋体" charset="-122"/>
              <a:ea typeface="宋体" charset="-122"/>
              <a:cs typeface="宋体" charset="-122"/>
              <a:sym typeface="宋体" charset="-122"/>
            </a:defRPr>
          </a:pPr>
        </a:p>
      </c:txPr>
    </c:legend>
    <c:plotVisOnly val="1"/>
    <c:dispBlanksAs val="gap"/>
    <c:showDLblsOverMax val="0"/>
  </c:chart>
  <c:spPr>
    <a:solidFill>
      <a:schemeClr val="bg1"/>
    </a:solidFill>
    <a:ln w="9525" cap="flat" cmpd="sng" algn="ctr">
      <a:noFill/>
      <a:round/>
    </a:ln>
    <a:effectLst/>
  </c:spPr>
  <c:txPr>
    <a:bodyPr/>
    <a:lstStyle/>
    <a:p>
      <a:pPr>
        <a:defRPr lang="zh-CN" sz="900">
          <a:latin typeface="宋体" charset="-122"/>
          <a:ea typeface="宋体" charset="-122"/>
          <a:cs typeface="宋体" charset="-122"/>
          <a:sym typeface="宋体"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sz="900" b="1"/>
              <a:t>图3：支出决算结构图</a:t>
            </a:r>
            <a:endParaRPr sz="900" b="1"/>
          </a:p>
        </c:rich>
      </c:tx>
      <c:layout/>
      <c:overlay val="0"/>
      <c:spPr>
        <a:noFill/>
        <a:ln>
          <a:noFill/>
        </a:ln>
        <a:effectLst/>
      </c:spPr>
    </c:title>
    <c:autoTitleDeleted val="0"/>
    <c:plotArea>
      <c:layout/>
      <c:pieChart>
        <c:varyColors val="1"/>
        <c:ser>
          <c:idx val="0"/>
          <c:order val="0"/>
          <c:spPr/>
          <c:explosion val="0"/>
          <c:dPt>
            <c:idx val="0"/>
            <c:bubble3D val="0"/>
            <c:spPr>
              <a:solidFill>
                <a:schemeClr val="accent5"/>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gradFill>
                <a:gsLst>
                  <a:gs pos="0">
                    <a:srgbClr val="E30000"/>
                  </a:gs>
                  <a:gs pos="100000">
                    <a:srgbClr val="760303"/>
                  </a:gs>
                </a:gsLst>
                <a:lin ang="5400000" scaled="0"/>
              </a:gradFill>
              <a:ln w="19050">
                <a:solidFill>
                  <a:schemeClr val="lt1"/>
                </a:solidFill>
              </a:ln>
              <a:effectLst/>
            </c:spPr>
          </c:dPt>
          <c:dPt>
            <c:idx val="4"/>
            <c:bubble3D val="0"/>
            <c:spPr>
              <a:solidFill>
                <a:schemeClr val="tx1"/>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[画图模板.xlsx]Sheet2!$D$102:$D$106</c:f>
              <c:strCache>
                <c:ptCount val="5"/>
                <c:pt idx="0">
                  <c:v>基本支出</c:v>
                </c:pt>
                <c:pt idx="1">
                  <c:v>项目支出</c:v>
                </c:pt>
                <c:pt idx="2">
                  <c:v>上缴上级支出</c:v>
                </c:pt>
                <c:pt idx="3">
                  <c:v>经营支出</c:v>
                </c:pt>
                <c:pt idx="4">
                  <c:v>对附属单位补助支出</c:v>
                </c:pt>
              </c:strCache>
            </c:strRef>
          </c:cat>
          <c:val>
            <c:numRef>
              <c:f>[画图模板.xlsx]Sheet2!$E$102:$E$106</c:f>
              <c:numCache>
                <c:formatCode>General</c:formatCode>
                <c:ptCount val="5"/>
                <c:pt idx="0">
                  <c:v>1517.63</c:v>
                </c:pt>
                <c:pt idx="1">
                  <c:v>1581.36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宋体" charset="-122"/>
                <a:ea typeface="宋体" charset="-122"/>
                <a:cs typeface="宋体" charset="-122"/>
                <a:sym typeface="宋体" charset="-122"/>
              </a:defRPr>
            </a:pPr>
            <a:r>
              <a:rPr sz="900" b="1">
                <a:latin typeface="宋体" charset="-122"/>
                <a:ea typeface="宋体" charset="-122"/>
                <a:cs typeface="宋体" charset="-122"/>
                <a:sym typeface="宋体" charset="-122"/>
              </a:rPr>
              <a:t>图4：财政拨款收、支决算总计变动情况</a:t>
            </a:r>
            <a:endParaRPr sz="900" b="1">
              <a:latin typeface="宋体" charset="-122"/>
              <a:ea typeface="宋体" charset="-122"/>
              <a:cs typeface="宋体" charset="-122"/>
              <a:sym typeface="宋体" charset="-122"/>
            </a:endParaRPr>
          </a:p>
        </c:rich>
      </c:tx>
      <c:layout>
        <c:manualLayout>
          <c:xMode val="edge"/>
          <c:yMode val="edge"/>
          <c:x val="0.288910632746249"/>
          <c:y val="0.0243055555555556"/>
        </c:manualLayout>
      </c:layout>
      <c:overlay val="0"/>
      <c:spPr>
        <a:noFill/>
        <a:ln>
          <a:noFill/>
        </a:ln>
        <a:effectLst/>
      </c:spPr>
    </c:title>
    <c:autoTitleDeleted val="0"/>
    <c:plotArea>
      <c:layout>
        <c:manualLayout>
          <c:layoutTarget val="inner"/>
          <c:xMode val="edge"/>
          <c:yMode val="edge"/>
          <c:x val="0.168151391606871"/>
          <c:y val="0.172916666666667"/>
          <c:w val="0.805333333333333"/>
          <c:h val="0.607268518518518"/>
        </c:manualLayout>
      </c:layout>
      <c:barChart>
        <c:barDir val="col"/>
        <c:grouping val="clustered"/>
        <c:varyColors val="0"/>
        <c:ser>
          <c:idx val="0"/>
          <c:order val="0"/>
          <c:tx>
            <c:strRef>
              <c:f>[画图模板.xlsx]Sheet2!$G$5</c:f>
              <c:strCache>
                <c:ptCount val="1"/>
                <c:pt idx="0">
                  <c:v>2023年</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[画图模板.xlsx]Sheet2!$H$4:$I$4</c:f>
              <c:strCache>
                <c:ptCount val="2"/>
                <c:pt idx="0">
                  <c:v>收入</c:v>
                </c:pt>
                <c:pt idx="1">
                  <c:v>支出</c:v>
                </c:pt>
              </c:strCache>
            </c:strRef>
          </c:cat>
          <c:val>
            <c:numRef>
              <c:f>[画图模板.xlsx]Sheet2!$H$5:$I$5</c:f>
              <c:numCache>
                <c:formatCode>General</c:formatCode>
                <c:ptCount val="2"/>
                <c:pt idx="0">
                  <c:v>3098.99</c:v>
                </c:pt>
                <c:pt idx="1">
                  <c:v>3098.99</c:v>
                </c:pt>
              </c:numCache>
            </c:numRef>
          </c:val>
        </c:ser>
        <c:ser>
          <c:idx val="1"/>
          <c:order val="1"/>
          <c:tx>
            <c:strRef>
              <c:f>[画图模板.xlsx]Sheet2!$G$6</c:f>
              <c:strCache>
                <c:ptCount val="1"/>
                <c:pt idx="0">
                  <c:v>2022年</c:v>
                </c:pt>
              </c:strCache>
            </c:strRef>
          </c:tx>
          <c:spPr>
            <a:solidFill>
              <a:schemeClr val="accent2"/>
            </a:solidFill>
            <a:ln>
              <a:noFill/>
            </a:ln>
            <a:effectLst/>
          </c:spPr>
          <c:invertIfNegative val="0"/>
          <c:dLbls>
            <c:dLbl>
              <c:idx val="0"/>
              <c:layout>
                <c:manualLayout>
                  <c:x val="0.0166666666666667"/>
                  <c:y val="0.0069444444444444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6666666666667"/>
                  <c:y val="0.003472222222222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[画图模板.xlsx]Sheet2!$H$4:$I$4</c:f>
              <c:strCache>
                <c:ptCount val="2"/>
                <c:pt idx="0">
                  <c:v>收入</c:v>
                </c:pt>
                <c:pt idx="1">
                  <c:v>支出</c:v>
                </c:pt>
              </c:strCache>
            </c:strRef>
          </c:cat>
          <c:val>
            <c:numRef>
              <c:f>[画图模板.xlsx]Sheet2!$H$6:$I$6</c:f>
              <c:numCache>
                <c:formatCode>General</c:formatCode>
                <c:ptCount val="2"/>
                <c:pt idx="0">
                  <c:v>2206.87</c:v>
                </c:pt>
                <c:pt idx="1">
                  <c:v>2206.87</c:v>
                </c:pt>
              </c:numCache>
            </c:numRef>
          </c:val>
        </c:ser>
        <c:dLbls>
          <c:showLegendKey val="0"/>
          <c:showVal val="1"/>
          <c:showCatName val="0"/>
          <c:showSerName val="0"/>
          <c:showPercent val="0"/>
          <c:showBubbleSize val="0"/>
        </c:dLbls>
        <c:gapWidth val="205"/>
        <c:overlap val="0"/>
        <c:axId val="695296810"/>
        <c:axId val="28759014"/>
      </c:barChart>
      <c:catAx>
        <c:axId val="6952968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j-ea"/>
                <a:ea typeface="+mj-ea"/>
                <a:cs typeface="+mj-ea"/>
                <a:sym typeface="+mj-ea"/>
              </a:defRPr>
            </a:pPr>
          </a:p>
        </c:txPr>
        <c:crossAx val="28759014"/>
        <c:crosses val="autoZero"/>
        <c:auto val="1"/>
        <c:lblAlgn val="ctr"/>
        <c:lblOffset val="100"/>
        <c:noMultiLvlLbl val="0"/>
      </c:catAx>
      <c:valAx>
        <c:axId val="28759014"/>
        <c:scaling>
          <c:orientation val="minMax"/>
        </c:scaling>
        <c:delete val="0"/>
        <c:axPos val="l"/>
        <c:majorGridlines>
          <c:spPr>
            <a:ln w="9525" cap="flat" cmpd="sng" algn="ctr">
              <a:no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万元</a:t>
                </a:r>
                <a:endParaRPr b="1"/>
              </a:p>
            </c:rich>
          </c:tx>
          <c:layout>
            <c:manualLayout>
              <c:xMode val="edge"/>
              <c:yMode val="edge"/>
              <c:x val="0.0972222222222222"/>
              <c:y val="0.0155555555555555"/>
            </c:manualLayout>
          </c:layout>
          <c:overlay val="0"/>
          <c:spPr>
            <a:noFill/>
            <a:ln>
              <a:noFill/>
            </a:ln>
            <a:effectLst/>
          </c:spPr>
        </c:title>
        <c:numFmt formatCode="General"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69529681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manualLayout>
          <c:xMode val="edge"/>
          <c:yMode val="edge"/>
          <c:x val="0.840834964122635"/>
          <c:y val="0.16087962962963"/>
          <c:w val="0.153033268101761"/>
          <c:h val="0.158564814814815"/>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b="1"/>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7625"/>
          <c:y val="0.118055555555556"/>
        </c:manualLayout>
      </c:layout>
      <c:overlay val="0"/>
      <c:spPr>
        <a:noFill/>
        <a:ln>
          <a:noFill/>
        </a:ln>
        <a:effectLst/>
      </c:spPr>
      <c:txPr>
        <a:bodyPr rot="0" spcFirstLastPara="0" vertOverflow="ellipsis" vert="horz" wrap="square" anchor="ctr" anchorCtr="1"/>
        <a:lstStyle/>
        <a:p>
          <a:pPr>
            <a:defRPr lang="zh-CN" sz="10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stacked"/>
        <c:varyColors val="0"/>
        <c:ser>
          <c:idx val="0"/>
          <c:order val="0"/>
          <c:tx>
            <c:strRef>
              <c:f>[画图模板.xlsx]Sheet2!$B$15</c:f>
              <c:strCache>
                <c:ptCount val="1"/>
                <c:pt idx="0">
                  <c:v/>
                </c:pt>
              </c:strCache>
            </c:strRef>
          </c:tx>
          <c:spPr>
            <a:solidFill>
              <a:schemeClr val="accent1"/>
            </a:solidFill>
            <a:ln>
              <a:noFill/>
            </a:ln>
            <a:effectLst/>
          </c:spPr>
          <c:invertIfNegative val="0"/>
          <c:dPt>
            <c:idx val="0"/>
            <c:invertIfNegative val="0"/>
            <c:bubble3D val="0"/>
            <c:spPr>
              <a:solidFill>
                <a:schemeClr val="accent5"/>
              </a:solidFill>
              <a:ln>
                <a:noFill/>
              </a:ln>
              <a:effectLst/>
            </c:spPr>
          </c:dPt>
          <c:dPt>
            <c:idx val="1"/>
            <c:invertIfNegative val="0"/>
            <c:bubble3D val="0"/>
            <c:spPr>
              <a:solidFill>
                <a:schemeClr val="accent2"/>
              </a:solidFill>
              <a:ln>
                <a:noFill/>
              </a:ln>
              <a:effectLst/>
            </c:spPr>
          </c:dPt>
          <c:dLbls>
            <c:dLbl>
              <c:idx val="0"/>
              <c:layout>
                <c:manualLayout>
                  <c:x val="0.00833333333333333"/>
                  <c:y val="-0.34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256944444444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[画图模板.xlsx]Sheet2!$C$14:$D$14</c:f>
              <c:numCache>
                <c:formatCode>General</c:formatCode>
                <c:ptCount val="2"/>
                <c:pt idx="0">
                  <c:v>2023</c:v>
                </c:pt>
                <c:pt idx="1">
                  <c:v>2022</c:v>
                </c:pt>
              </c:numCache>
            </c:numRef>
          </c:cat>
          <c:val>
            <c:numRef>
              <c:f>[画图模板.xlsx]Sheet2!$C$15:$D$15</c:f>
              <c:numCache>
                <c:formatCode>General</c:formatCode>
                <c:ptCount val="2"/>
                <c:pt idx="0">
                  <c:v>3098.99</c:v>
                </c:pt>
                <c:pt idx="1">
                  <c:v>2206.87</c:v>
                </c:pt>
              </c:numCache>
            </c:numRef>
          </c:val>
        </c:ser>
        <c:dLbls>
          <c:showLegendKey val="0"/>
          <c:showVal val="1"/>
          <c:showCatName val="0"/>
          <c:showSerName val="0"/>
          <c:showPercent val="0"/>
          <c:showBubbleSize val="0"/>
        </c:dLbls>
        <c:gapWidth val="150"/>
        <c:overlap val="100"/>
        <c:axId val="427700103"/>
        <c:axId val="132577793"/>
      </c:barChart>
      <c:catAx>
        <c:axId val="427700103"/>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图5：一般公共预算财政拨款支出决算变动情况</a:t>
                </a:r>
                <a:endParaRPr b="1"/>
              </a:p>
            </c:rich>
          </c:tx>
          <c:layout>
            <c:manualLayout>
              <c:xMode val="edge"/>
              <c:yMode val="edge"/>
              <c:x val="0.323305555555556"/>
              <c:y val="0.040277777777777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577793"/>
        <c:crosses val="autoZero"/>
        <c:auto val="1"/>
        <c:lblAlgn val="ctr"/>
        <c:lblOffset val="100"/>
        <c:noMultiLvlLbl val="0"/>
      </c:catAx>
      <c:valAx>
        <c:axId val="132577793"/>
        <c:scaling>
          <c:orientation val="minMax"/>
        </c:scaling>
        <c:delete val="0"/>
        <c:axPos val="l"/>
        <c:majorGridlines>
          <c:spPr>
            <a:ln w="9525" cap="flat" cmpd="sng" algn="ctr">
              <a:no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万元</a:t>
                </a:r>
              </a:p>
            </c:rich>
          </c:tx>
          <c:layout>
            <c:manualLayout>
              <c:xMode val="edge"/>
              <c:yMode val="edge"/>
              <c:x val="0.0847222222222222"/>
              <c:y val="0.0196759259259259"/>
            </c:manualLayout>
          </c:layout>
          <c:overlay val="0"/>
          <c:spPr>
            <a:noFill/>
            <a:ln>
              <a:noFill/>
            </a:ln>
            <a:effectLst/>
          </c:spPr>
        </c:title>
        <c:numFmt formatCode="General" sourceLinked="0"/>
        <c:majorTickMark val="none"/>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7001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sz="900" b="1"/>
              <a:t>图6：一般公共预算财政拨款支出决算结构</a:t>
            </a:r>
            <a:endParaRPr sz="900" b="1"/>
          </a:p>
        </c:rich>
      </c:tx>
      <c:layout>
        <c:manualLayout>
          <c:xMode val="edge"/>
          <c:yMode val="edge"/>
          <c:x val="0.135277777777778"/>
          <c:y val="0.03125"/>
        </c:manualLayout>
      </c:layout>
      <c:overlay val="0"/>
      <c:spPr>
        <a:noFill/>
        <a:ln>
          <a:noFill/>
        </a:ln>
        <a:effectLst/>
      </c:spPr>
    </c:title>
    <c:autoTitleDeleted val="0"/>
    <c:plotArea>
      <c:layout/>
      <c:pieChart>
        <c:varyColors val="1"/>
        <c:ser>
          <c:idx val="0"/>
          <c:order val="0"/>
          <c:spPr/>
          <c:explosion val="0"/>
          <c:dPt>
            <c:idx val="0"/>
            <c:bubble3D val="0"/>
            <c:spPr>
              <a:gradFill>
                <a:gsLst>
                  <a:gs pos="0">
                    <a:srgbClr val="FECF40"/>
                  </a:gs>
                  <a:gs pos="100000">
                    <a:srgbClr val="846C21"/>
                  </a:gs>
                </a:gsLst>
                <a:lin ang="5400000"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5"/>
              </a:solidFill>
              <a:ln w="19050">
                <a:solidFill>
                  <a:schemeClr val="lt1"/>
                </a:solidFill>
              </a:ln>
              <a:effectLst/>
            </c:spPr>
          </c:dPt>
          <c:dLbls>
            <c:dLbl>
              <c:idx val="1"/>
              <c:layout>
                <c:manualLayout>
                  <c:x val="-0.0137249327964248"/>
                  <c:y val="0.18235975348553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[画图模板.xlsx]Sheet2!$Q$88:$Q$90</c:f>
              <c:strCache>
                <c:ptCount val="3"/>
                <c:pt idx="0">
                  <c:v>一般公共服务支出</c:v>
                </c:pt>
                <c:pt idx="1">
                  <c:v>社会保障和就业支出</c:v>
                </c:pt>
                <c:pt idx="2">
                  <c:v>卫生健康支出</c:v>
                </c:pt>
              </c:strCache>
            </c:strRef>
          </c:cat>
          <c:val>
            <c:numRef>
              <c:f>[画图模板.xlsx]Sheet2!$R$88:$R$90</c:f>
              <c:numCache>
                <c:formatCode>General</c:formatCode>
                <c:ptCount val="3"/>
                <c:pt idx="0">
                  <c:v>3</c:v>
                </c:pt>
                <c:pt idx="1">
                  <c:v>148.71</c:v>
                </c:pt>
                <c:pt idx="2">
                  <c:v>2947.28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00" b="1" i="0" u="none" strike="noStrike" kern="1200" spc="0" baseline="0">
                <a:solidFill>
                  <a:schemeClr val="tx1">
                    <a:lumMod val="65000"/>
                    <a:lumOff val="35000"/>
                  </a:schemeClr>
                </a:solidFill>
                <a:latin typeface="+mn-lt"/>
                <a:ea typeface="+mn-ea"/>
                <a:cs typeface="+mn-cs"/>
              </a:defRPr>
            </a:pPr>
            <a:r>
              <a:rPr sz="900" b="1"/>
              <a:t>图7：“三公”经费财政拨款支出结构</a:t>
            </a:r>
            <a:endParaRPr sz="900" b="1"/>
          </a:p>
        </c:rich>
      </c:tx>
      <c:layout/>
      <c:overlay val="0"/>
      <c:spPr>
        <a:noFill/>
        <a:ln>
          <a:noFill/>
        </a:ln>
        <a:effectLst/>
      </c:spPr>
    </c:title>
    <c:autoTitleDeleted val="0"/>
    <c:plotArea>
      <c:layout/>
      <c:pieChart>
        <c:varyColors val="1"/>
        <c:ser>
          <c:idx val="0"/>
          <c:order val="0"/>
          <c:spPr>
            <a:solidFill>
              <a:schemeClr val="accent2"/>
            </a:solidFill>
          </c:spPr>
          <c:explosion val="0"/>
          <c:dPt>
            <c:idx val="0"/>
            <c:bubble3D val="0"/>
            <c:spPr>
              <a:solidFill>
                <a:schemeClr val="tx1"/>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2"/>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[画图模板.xlsx]Sheet2!$C$131:$C$133</c:f>
              <c:strCache>
                <c:ptCount val="3"/>
                <c:pt idx="0">
                  <c:v>因公出国（境）费支出</c:v>
                </c:pt>
                <c:pt idx="1">
                  <c:v>公务用车购置及运行维护费支出</c:v>
                </c:pt>
                <c:pt idx="2">
                  <c:v>公务接待费支出</c:v>
                </c:pt>
              </c:strCache>
            </c:strRef>
          </c:cat>
          <c:val>
            <c:numRef>
              <c:f>[画图模板.xlsx]Sheet2!$D$131:$D$133</c:f>
              <c:numCache>
                <c:formatCode>General</c:formatCode>
                <c:ptCount val="3"/>
                <c:pt idx="0">
                  <c:v>0</c:v>
                </c:pt>
                <c:pt idx="1">
                  <c:v>17.12</c:v>
                </c:pt>
                <c:pt idx="2">
                  <c:v>2.53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8360</Words>
  <Characters>8911</Characters>
  <Lines>54</Lines>
  <Paragraphs>15</Paragraphs>
  <TotalTime>93</TotalTime>
  <ScaleCrop>false</ScaleCrop>
  <LinksUpToDate>false</LinksUpToDate>
  <CharactersWithSpaces>8959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2020-08-12T01:49:00Z</dcterms:created>
  <dc:creator>曹颖</dc:creator>
  <cp:lastModifiedBy>huawei</cp:lastModifiedBy>
  <cp:lastPrinted>2024-09-06T16:50:00Z</cp:lastPrinted>
  <dcterms:modified xsi:type="dcterms:W3CDTF">2024-09-06T09:28:42Z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1BDB9F2DA1D7EF1DC491D96690466904</vt:lpwstr>
  </property>
</Properties>
</file>